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77AF0" w:rsidRDefault="00B348EE">
      <w:pPr>
        <w:spacing w:line="360" w:lineRule="auto"/>
      </w:pPr>
      <w:r>
        <w:rPr>
          <w:b/>
          <w:color w:val="2E3747"/>
          <w:sz w:val="42"/>
          <w:szCs w:val="42"/>
        </w:rPr>
        <w:t>Editorial Style Guide Example</w:t>
      </w:r>
    </w:p>
    <w:p w:rsidR="00D77AF0" w:rsidRDefault="00B348EE">
      <w:pPr>
        <w:spacing w:line="360" w:lineRule="auto"/>
      </w:pPr>
      <w:r>
        <w:rPr>
          <w:i/>
          <w:color w:val="00C5B9"/>
          <w:sz w:val="36"/>
          <w:szCs w:val="36"/>
        </w:rPr>
        <w:t>Professional Communications OER</w:t>
      </w:r>
    </w:p>
    <w:p w:rsidR="00D77AF0" w:rsidRDefault="00D77AF0">
      <w:pPr>
        <w:pBdr>
          <w:top w:val="single" w:sz="4" w:space="1" w:color="auto"/>
        </w:pBdr>
      </w:pPr>
    </w:p>
    <w:p w:rsidR="0005260C" w:rsidRDefault="0005260C" w:rsidP="0005260C">
      <w:pPr>
        <w:widowControl w:val="0"/>
      </w:pPr>
      <w:r>
        <w:rPr>
          <w:sz w:val="22"/>
          <w:szCs w:val="22"/>
        </w:rPr>
        <w:t>This project/resource was funded by the Alberta Open Educational Resources (ABOER) Initiative, which is made possible through an investment from the Alberta government</w:t>
      </w:r>
    </w:p>
    <w:p w:rsidR="0005260C" w:rsidRDefault="0005260C" w:rsidP="0005260C">
      <w:pPr>
        <w:widowControl w:val="0"/>
        <w:rPr>
          <w:color w:val="FFFFFF"/>
          <w:sz w:val="16"/>
          <w:szCs w:val="16"/>
        </w:rPr>
      </w:pPr>
    </w:p>
    <w:p w:rsidR="0005260C" w:rsidRDefault="0005260C" w:rsidP="0005260C">
      <w:pPr>
        <w:widowControl w:val="0"/>
        <w:rPr>
          <w:color w:val="FFFFFF"/>
          <w:sz w:val="16"/>
          <w:szCs w:val="16"/>
        </w:rPr>
      </w:pPr>
    </w:p>
    <w:p w:rsidR="0005260C" w:rsidRDefault="0005260C" w:rsidP="0005260C">
      <w:pPr>
        <w:widowControl w:val="0"/>
        <w:rPr>
          <w:color w:val="00C5B9"/>
          <w:sz w:val="16"/>
          <w:szCs w:val="16"/>
          <w:u w:val="single"/>
        </w:rPr>
      </w:pPr>
      <w:r>
        <w:rPr>
          <w:noProof/>
        </w:rPr>
        <w:drawing>
          <wp:inline distT="114300" distB="114300" distL="114300" distR="114300" wp14:anchorId="75BEF13C" wp14:editId="3939877A">
            <wp:extent cx="991577" cy="190500"/>
            <wp:effectExtent l="0" t="0" r="0" b="0"/>
            <wp:docPr id="3" name="image01.png" descr="http://mirrors.creativecommons.org/presskit/buttons/80x15/png/b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http://mirrors.creativecommons.org/presskit/buttons/80x15/png/by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1577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FFFFFF"/>
          <w:sz w:val="16"/>
          <w:szCs w:val="16"/>
        </w:rPr>
        <w:t xml:space="preserve"> </w:t>
      </w:r>
      <w:hyperlink r:id="rId9">
        <w:r>
          <w:rPr>
            <w:color w:val="00C5B9"/>
            <w:sz w:val="16"/>
            <w:szCs w:val="16"/>
            <w:u w:val="single"/>
          </w:rPr>
          <w:t>Creative Commons Attribution 4.0 License</w:t>
        </w:r>
      </w:hyperlink>
    </w:p>
    <w:p w:rsidR="00D77AF0" w:rsidRDefault="00D77AF0">
      <w:pPr>
        <w:spacing w:line="360" w:lineRule="auto"/>
      </w:pPr>
      <w:bookmarkStart w:id="0" w:name="_GoBack"/>
      <w:bookmarkEnd w:id="0"/>
    </w:p>
    <w:p w:rsidR="00D77AF0" w:rsidRDefault="00B348EE">
      <w:pPr>
        <w:spacing w:line="360" w:lineRule="auto"/>
      </w:pPr>
      <w:r>
        <w:t>For any queries not clarified in this style guide, please consult:</w:t>
      </w:r>
    </w:p>
    <w:p w:rsidR="00D77AF0" w:rsidRDefault="00B348EE">
      <w:pPr>
        <w:spacing w:line="360" w:lineRule="auto"/>
      </w:pPr>
      <w:r>
        <w:rPr>
          <w:b/>
        </w:rPr>
        <w:t>Dictionary:</w:t>
      </w:r>
      <w:r>
        <w:t xml:space="preserve"> </w:t>
      </w:r>
      <w:r>
        <w:rPr>
          <w:i/>
        </w:rPr>
        <w:t xml:space="preserve">Canadian Oxford Dictionary </w:t>
      </w:r>
      <w:r>
        <w:t xml:space="preserve">or </w:t>
      </w:r>
      <w:hyperlink r:id="rId10">
        <w:r>
          <w:rPr>
            <w:color w:val="1155CC"/>
            <w:u w:val="single"/>
          </w:rPr>
          <w:t>oxforddictionaries.com</w:t>
        </w:r>
      </w:hyperlink>
    </w:p>
    <w:p w:rsidR="00D77AF0" w:rsidRDefault="00B348EE">
      <w:pPr>
        <w:spacing w:line="360" w:lineRule="auto"/>
      </w:pPr>
      <w:r>
        <w:rPr>
          <w:b/>
        </w:rPr>
        <w:t>Style guide:</w:t>
      </w:r>
      <w:r>
        <w:t xml:space="preserve"> </w:t>
      </w:r>
      <w:r>
        <w:rPr>
          <w:i/>
        </w:rPr>
        <w:t>The Canadian Press Stylebook: A Guide for Writers and Editors</w:t>
      </w:r>
      <w:r>
        <w:t xml:space="preserve">. See also </w:t>
      </w:r>
      <w:r>
        <w:rPr>
          <w:i/>
        </w:rPr>
        <w:t>The Canadian Press Caps and Spelling</w:t>
      </w:r>
      <w:r>
        <w:t xml:space="preserve"> (for Canadian spelling choices; treatment of Canadian government, geographic, military, etc., terminology; list of plain-language word</w:t>
      </w:r>
      <w:r>
        <w:t>s, and more).</w:t>
      </w:r>
    </w:p>
    <w:p w:rsidR="00D77AF0" w:rsidRDefault="00D77AF0">
      <w:pPr>
        <w:spacing w:line="360" w:lineRule="auto"/>
      </w:pPr>
    </w:p>
    <w:p w:rsidR="00D77AF0" w:rsidRDefault="00B348EE">
      <w:pPr>
        <w:pStyle w:val="Heading1"/>
        <w:spacing w:before="0" w:line="360" w:lineRule="auto"/>
        <w:contextualSpacing w:val="0"/>
      </w:pPr>
      <w:bookmarkStart w:id="1" w:name="h.v8v5mus58hhp" w:colFirst="0" w:colLast="0"/>
      <w:bookmarkEnd w:id="1"/>
      <w:r>
        <w:rPr>
          <w:rFonts w:ascii="Arial" w:eastAsia="Arial" w:hAnsi="Arial" w:cs="Arial"/>
        </w:rPr>
        <w:t>Acronyms</w:t>
      </w:r>
    </w:p>
    <w:p w:rsidR="00D77AF0" w:rsidRDefault="00B348EE">
      <w:pPr>
        <w:spacing w:line="360" w:lineRule="auto"/>
      </w:pPr>
      <w:r>
        <w:t xml:space="preserve">Common acronyms should be written in uppercase without periods (CBC, RCMP, </w:t>
      </w:r>
      <w:proofErr w:type="gramStart"/>
      <w:r>
        <w:t>NATO</w:t>
      </w:r>
      <w:proofErr w:type="gramEnd"/>
      <w:r>
        <w:t>).</w:t>
      </w:r>
    </w:p>
    <w:p w:rsidR="00D77AF0" w:rsidRDefault="00B348EE">
      <w:pPr>
        <w:spacing w:line="360" w:lineRule="auto"/>
      </w:pPr>
      <w:r>
        <w:t>When referring to locations referred to with acronyms, (U.S., U.K.), use a period after each letter.</w:t>
      </w:r>
    </w:p>
    <w:p w:rsidR="00D77AF0" w:rsidRDefault="00D77AF0">
      <w:pPr>
        <w:spacing w:line="360" w:lineRule="auto"/>
      </w:pPr>
    </w:p>
    <w:p w:rsidR="00D77AF0" w:rsidRDefault="00B348EE">
      <w:pPr>
        <w:pStyle w:val="Heading1"/>
        <w:spacing w:before="0" w:line="360" w:lineRule="auto"/>
        <w:contextualSpacing w:val="0"/>
      </w:pPr>
      <w:bookmarkStart w:id="2" w:name="h.xqqnrkel0az3" w:colFirst="0" w:colLast="0"/>
      <w:bookmarkEnd w:id="2"/>
      <w:r>
        <w:rPr>
          <w:rFonts w:ascii="Arial" w:eastAsia="Arial" w:hAnsi="Arial" w:cs="Arial"/>
        </w:rPr>
        <w:t>Addresses</w:t>
      </w:r>
    </w:p>
    <w:p w:rsidR="00D77AF0" w:rsidRDefault="00B348EE">
      <w:pPr>
        <w:spacing w:line="360" w:lineRule="auto"/>
      </w:pPr>
      <w:r>
        <w:t xml:space="preserve">Follow Canada Post mailing guidelines </w:t>
      </w:r>
      <w:r>
        <w:t>for addresses: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t>John Smith</w:t>
      </w:r>
      <w:r>
        <w:br/>
        <w:t>123 Main Street</w:t>
      </w:r>
      <w:proofErr w:type="gramStart"/>
      <w:r>
        <w:t>,</w:t>
      </w:r>
      <w:proofErr w:type="gramEnd"/>
      <w:r>
        <w:br/>
      </w:r>
      <w:proofErr w:type="spellStart"/>
      <w:r>
        <w:t>Anytown</w:t>
      </w:r>
      <w:proofErr w:type="spellEnd"/>
      <w:r>
        <w:t xml:space="preserve"> AB A1A 1A1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t xml:space="preserve">Use two-letter abbreviations for provinces (i.e., AB, BC, </w:t>
      </w:r>
      <w:proofErr w:type="gramStart"/>
      <w:r>
        <w:t>QC</w:t>
      </w:r>
      <w:proofErr w:type="gramEnd"/>
      <w:r>
        <w:t xml:space="preserve">). </w:t>
      </w:r>
    </w:p>
    <w:p w:rsidR="00D77AF0" w:rsidRDefault="00D77AF0">
      <w:pPr>
        <w:spacing w:line="360" w:lineRule="auto"/>
      </w:pPr>
    </w:p>
    <w:p w:rsidR="00D77AF0" w:rsidRDefault="00B348EE">
      <w:pPr>
        <w:pStyle w:val="Heading1"/>
        <w:spacing w:before="0" w:line="360" w:lineRule="auto"/>
        <w:contextualSpacing w:val="0"/>
      </w:pPr>
      <w:bookmarkStart w:id="3" w:name="h.y51vr7h4mm0y" w:colFirst="0" w:colLast="0"/>
      <w:bookmarkEnd w:id="3"/>
      <w:r>
        <w:rPr>
          <w:rFonts w:ascii="Arial" w:eastAsia="Arial" w:hAnsi="Arial" w:cs="Arial"/>
        </w:rPr>
        <w:t>Academic</w:t>
      </w:r>
    </w:p>
    <w:p w:rsidR="00D77AF0" w:rsidRDefault="00B348EE">
      <w:pPr>
        <w:spacing w:line="360" w:lineRule="auto"/>
      </w:pPr>
      <w:r>
        <w:t xml:space="preserve">Degree abbreviations do not use periods (PhD, MSc) </w:t>
      </w:r>
    </w:p>
    <w:p w:rsidR="00D77AF0" w:rsidRDefault="00B348EE">
      <w:pPr>
        <w:spacing w:line="360" w:lineRule="auto"/>
      </w:pPr>
      <w:r>
        <w:t>Capitalize the official names of educational institutions (e.g., T</w:t>
      </w:r>
      <w:r>
        <w:t>he University of British Columbia) and lowercase subsequent references such as “the university”).</w:t>
      </w:r>
    </w:p>
    <w:p w:rsidR="00D77AF0" w:rsidRDefault="00B348EE">
      <w:pPr>
        <w:spacing w:line="360" w:lineRule="auto"/>
      </w:pPr>
      <w:r>
        <w:t xml:space="preserve">Capitalize the official proper names of academic departments (Department of Economics, but “the economics department”). </w:t>
      </w:r>
    </w:p>
    <w:p w:rsidR="00D77AF0" w:rsidRDefault="00D77AF0">
      <w:pPr>
        <w:spacing w:line="360" w:lineRule="auto"/>
      </w:pPr>
    </w:p>
    <w:p w:rsidR="00D77AF0" w:rsidRDefault="00B348EE">
      <w:pPr>
        <w:pStyle w:val="Heading1"/>
        <w:spacing w:before="0" w:line="360" w:lineRule="auto"/>
        <w:contextualSpacing w:val="0"/>
      </w:pPr>
      <w:bookmarkStart w:id="4" w:name="h.y465yaukohxk" w:colFirst="0" w:colLast="0"/>
      <w:bookmarkEnd w:id="4"/>
      <w:r>
        <w:rPr>
          <w:rFonts w:ascii="Arial" w:eastAsia="Arial" w:hAnsi="Arial" w:cs="Arial"/>
        </w:rPr>
        <w:t>Capitalization</w:t>
      </w:r>
    </w:p>
    <w:p w:rsidR="00D77AF0" w:rsidRDefault="00B348EE">
      <w:pPr>
        <w:spacing w:line="360" w:lineRule="auto"/>
      </w:pPr>
      <w:r>
        <w:t>Use Title Case for ti</w:t>
      </w:r>
      <w:r>
        <w:t>tles, headlines, and subheads.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t xml:space="preserve">Title Case capitalizes the first word in a sentence, as well as all nouns, pronouns, verbs, adjectives, adverbs, and subordinating conjunctions (like, because). </w:t>
      </w:r>
    </w:p>
    <w:p w:rsidR="00D77AF0" w:rsidRDefault="00B348EE">
      <w:pPr>
        <w:spacing w:line="360" w:lineRule="auto"/>
      </w:pPr>
      <w:r>
        <w:t>The “Title Case” style does not capitalize the following words:</w:t>
      </w:r>
    </w:p>
    <w:p w:rsidR="00D77AF0" w:rsidRDefault="00B348EE">
      <w:pPr>
        <w:numPr>
          <w:ilvl w:val="0"/>
          <w:numId w:val="6"/>
        </w:numPr>
        <w:spacing w:line="360" w:lineRule="auto"/>
        <w:ind w:left="940" w:hanging="360"/>
        <w:rPr>
          <w:rFonts w:ascii="Arial" w:eastAsia="Arial" w:hAnsi="Arial" w:cs="Arial"/>
          <w:sz w:val="22"/>
          <w:szCs w:val="22"/>
        </w:rPr>
      </w:pPr>
      <w:r>
        <w:t>articles (i.e., the, an, a)</w:t>
      </w:r>
    </w:p>
    <w:p w:rsidR="00D77AF0" w:rsidRDefault="00B348EE">
      <w:pPr>
        <w:numPr>
          <w:ilvl w:val="0"/>
          <w:numId w:val="6"/>
        </w:numPr>
        <w:spacing w:line="360" w:lineRule="auto"/>
        <w:ind w:left="940" w:hanging="360"/>
        <w:rPr>
          <w:rFonts w:ascii="Arial" w:eastAsia="Arial" w:hAnsi="Arial" w:cs="Arial"/>
          <w:sz w:val="22"/>
          <w:szCs w:val="22"/>
        </w:rPr>
      </w:pPr>
      <w:r>
        <w:t>conjunctions (and, but, or, for, nor)</w:t>
      </w:r>
    </w:p>
    <w:p w:rsidR="00D77AF0" w:rsidRDefault="00B348EE">
      <w:pPr>
        <w:numPr>
          <w:ilvl w:val="0"/>
          <w:numId w:val="6"/>
        </w:numPr>
        <w:spacing w:line="360" w:lineRule="auto"/>
        <w:ind w:left="940" w:hanging="360"/>
        <w:rPr>
          <w:rFonts w:ascii="Arial" w:eastAsia="Arial" w:hAnsi="Arial" w:cs="Arial"/>
          <w:sz w:val="22"/>
          <w:szCs w:val="22"/>
        </w:rPr>
      </w:pPr>
      <w:r>
        <w:t>prepositions over four characters, unless these words begin the sentence</w:t>
      </w:r>
    </w:p>
    <w:p w:rsidR="00D77AF0" w:rsidRDefault="00B348EE">
      <w:pPr>
        <w:spacing w:line="360" w:lineRule="auto"/>
      </w:pPr>
      <w:r>
        <w:t>Also use capitals at the start of words in the follow</w:t>
      </w:r>
      <w:r>
        <w:t xml:space="preserve">ing scenarios; </w:t>
      </w:r>
    </w:p>
    <w:p w:rsidR="00D77AF0" w:rsidRDefault="00B348EE">
      <w:pPr>
        <w:numPr>
          <w:ilvl w:val="0"/>
          <w:numId w:val="7"/>
        </w:numPr>
        <w:spacing w:line="360" w:lineRule="auto"/>
        <w:ind w:hanging="360"/>
      </w:pPr>
      <w:r>
        <w:t>Names of events and historic periods (World War II, The Jurassic Period)</w:t>
      </w:r>
    </w:p>
    <w:p w:rsidR="00D77AF0" w:rsidRDefault="00B348EE">
      <w:pPr>
        <w:numPr>
          <w:ilvl w:val="0"/>
          <w:numId w:val="6"/>
        </w:numPr>
        <w:spacing w:line="360" w:lineRule="auto"/>
        <w:ind w:hanging="360"/>
        <w:rPr>
          <w:rFonts w:ascii="Arial" w:eastAsia="Arial" w:hAnsi="Arial" w:cs="Arial"/>
          <w:sz w:val="22"/>
          <w:szCs w:val="22"/>
        </w:rPr>
      </w:pPr>
      <w:r>
        <w:t>Proper names, trade names, government departments and agencies, association names, company names, and club names</w:t>
      </w:r>
    </w:p>
    <w:p w:rsidR="00D77AF0" w:rsidRDefault="00B348EE">
      <w:pPr>
        <w:numPr>
          <w:ilvl w:val="0"/>
          <w:numId w:val="6"/>
        </w:numPr>
        <w:spacing w:line="360" w:lineRule="auto"/>
        <w:ind w:hanging="360"/>
        <w:rPr>
          <w:rFonts w:ascii="Arial" w:eastAsia="Arial" w:hAnsi="Arial" w:cs="Arial"/>
          <w:sz w:val="22"/>
          <w:szCs w:val="22"/>
        </w:rPr>
      </w:pPr>
      <w:r>
        <w:t>Languages, nations, races</w:t>
      </w:r>
    </w:p>
    <w:p w:rsidR="00D77AF0" w:rsidRDefault="00B348EE">
      <w:pPr>
        <w:numPr>
          <w:ilvl w:val="0"/>
          <w:numId w:val="6"/>
        </w:numPr>
        <w:spacing w:line="360" w:lineRule="auto"/>
        <w:ind w:hanging="360"/>
        <w:rPr>
          <w:rFonts w:ascii="Arial" w:eastAsia="Arial" w:hAnsi="Arial" w:cs="Arial"/>
          <w:sz w:val="22"/>
          <w:szCs w:val="22"/>
        </w:rPr>
      </w:pPr>
      <w:r>
        <w:t>Religions</w:t>
      </w:r>
    </w:p>
    <w:p w:rsidR="00D77AF0" w:rsidRDefault="00D77AF0">
      <w:pPr>
        <w:spacing w:line="360" w:lineRule="auto"/>
      </w:pP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rPr>
          <w:sz w:val="32"/>
          <w:szCs w:val="32"/>
        </w:rPr>
        <w:lastRenderedPageBreak/>
        <w:t>Dates and Times</w:t>
      </w:r>
    </w:p>
    <w:p w:rsidR="00D77AF0" w:rsidRDefault="00B348EE">
      <w:pPr>
        <w:numPr>
          <w:ilvl w:val="0"/>
          <w:numId w:val="1"/>
        </w:numPr>
        <w:spacing w:line="360" w:lineRule="auto"/>
        <w:ind w:hanging="360"/>
      </w:pPr>
      <w:r>
        <w:t xml:space="preserve">Format dates using MM/DD/YYYY </w:t>
      </w:r>
    </w:p>
    <w:p w:rsidR="00D77AF0" w:rsidRDefault="00B348EE">
      <w:pPr>
        <w:numPr>
          <w:ilvl w:val="0"/>
          <w:numId w:val="1"/>
        </w:numPr>
        <w:spacing w:line="360" w:lineRule="auto"/>
        <w:ind w:hanging="360"/>
      </w:pPr>
      <w:r>
        <w:t xml:space="preserve">In running text, use Day - Month - Date, Year (e.g., Tuesday, January 1, 2015) </w:t>
      </w:r>
    </w:p>
    <w:p w:rsidR="00D77AF0" w:rsidRDefault="00B348EE">
      <w:pPr>
        <w:numPr>
          <w:ilvl w:val="0"/>
          <w:numId w:val="1"/>
        </w:numPr>
        <w:spacing w:line="360" w:lineRule="auto"/>
        <w:ind w:hanging="360"/>
      </w:pPr>
      <w:r>
        <w:t xml:space="preserve">If only referring to a month and year, you do not need to include a comma (March 2009) </w:t>
      </w:r>
    </w:p>
    <w:p w:rsidR="00D77AF0" w:rsidRDefault="00B348EE">
      <w:pPr>
        <w:numPr>
          <w:ilvl w:val="0"/>
          <w:numId w:val="1"/>
        </w:numPr>
        <w:spacing w:line="360" w:lineRule="auto"/>
        <w:ind w:hanging="360"/>
      </w:pPr>
      <w:r>
        <w:t>If abbreviating months in running text, follow with a per</w:t>
      </w:r>
      <w:r>
        <w:t>iod (Jan.)</w:t>
      </w:r>
    </w:p>
    <w:p w:rsidR="00D77AF0" w:rsidRDefault="00B348EE">
      <w:pPr>
        <w:numPr>
          <w:ilvl w:val="0"/>
          <w:numId w:val="1"/>
        </w:numPr>
        <w:spacing w:line="360" w:lineRule="auto"/>
        <w:ind w:hanging="360"/>
      </w:pPr>
      <w:r>
        <w:t xml:space="preserve">If referring to a span of years, use an </w:t>
      </w:r>
      <w:proofErr w:type="spellStart"/>
      <w:r>
        <w:t>en</w:t>
      </w:r>
      <w:proofErr w:type="spellEnd"/>
      <w:r>
        <w:t xml:space="preserve"> dash (YYYY–YY)</w:t>
      </w:r>
    </w:p>
    <w:p w:rsidR="00D77AF0" w:rsidRDefault="00B348EE">
      <w:pPr>
        <w:numPr>
          <w:ilvl w:val="0"/>
          <w:numId w:val="1"/>
        </w:numPr>
        <w:spacing w:line="360" w:lineRule="auto"/>
        <w:ind w:hanging="360"/>
      </w:pPr>
      <w:r>
        <w:t xml:space="preserve">Do not list decades or centuries in the possessive form (i.e., 1920s, not 1920’s) </w:t>
      </w:r>
    </w:p>
    <w:p w:rsidR="00D77AF0" w:rsidRDefault="00B348EE">
      <w:pPr>
        <w:numPr>
          <w:ilvl w:val="0"/>
          <w:numId w:val="1"/>
        </w:numPr>
        <w:spacing w:line="360" w:lineRule="auto"/>
        <w:ind w:hanging="360"/>
      </w:pPr>
      <w:r>
        <w:t>Use the 12-hour clock, and follow with AM or PM</w:t>
      </w:r>
    </w:p>
    <w:p w:rsidR="00D77AF0" w:rsidRDefault="00B348EE">
      <w:pPr>
        <w:numPr>
          <w:ilvl w:val="0"/>
          <w:numId w:val="1"/>
        </w:numPr>
        <w:spacing w:line="360" w:lineRule="auto"/>
        <w:ind w:hanging="360"/>
      </w:pPr>
      <w:r>
        <w:t xml:space="preserve">Use </w:t>
      </w:r>
      <w:r>
        <w:rPr>
          <w:i/>
        </w:rPr>
        <w:t xml:space="preserve">midnight </w:t>
      </w:r>
      <w:r>
        <w:t xml:space="preserve">and </w:t>
      </w:r>
      <w:r>
        <w:rPr>
          <w:i/>
        </w:rPr>
        <w:t xml:space="preserve">noon </w:t>
      </w:r>
      <w:r>
        <w:t>rather than digits</w:t>
      </w:r>
    </w:p>
    <w:p w:rsidR="00D77AF0" w:rsidRDefault="00B348EE">
      <w:pPr>
        <w:numPr>
          <w:ilvl w:val="0"/>
          <w:numId w:val="1"/>
        </w:numPr>
        <w:spacing w:line="360" w:lineRule="auto"/>
        <w:ind w:hanging="360"/>
      </w:pPr>
      <w:r>
        <w:t xml:space="preserve">If a period of </w:t>
      </w:r>
      <w:r>
        <w:t>time spans several hours, use the word ‘to’ to indicate time (6PM to 9PM)</w:t>
      </w:r>
    </w:p>
    <w:p w:rsidR="00D77AF0" w:rsidRDefault="00B348EE">
      <w:pPr>
        <w:numPr>
          <w:ilvl w:val="0"/>
          <w:numId w:val="1"/>
        </w:numPr>
        <w:spacing w:line="360" w:lineRule="auto"/>
        <w:ind w:hanging="360"/>
      </w:pPr>
      <w:r>
        <w:t xml:space="preserve">Do not include zeros in the minutes place if time is on the hour (8PM not 8:00PM) 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rPr>
          <w:sz w:val="32"/>
          <w:szCs w:val="32"/>
        </w:rPr>
        <w:t>Hyperlinks</w:t>
      </w:r>
    </w:p>
    <w:p w:rsidR="00D77AF0" w:rsidRDefault="00B348EE">
      <w:pPr>
        <w:numPr>
          <w:ilvl w:val="0"/>
          <w:numId w:val="16"/>
        </w:numPr>
        <w:spacing w:line="360" w:lineRule="auto"/>
        <w:ind w:hanging="360"/>
      </w:pPr>
      <w:r>
        <w:t>A</w:t>
      </w:r>
      <w:r>
        <w:t xml:space="preserve">void the phrase “Click here” for hyperlinks. The link text should refer to the title or content of the page you are linking to (e.g., </w:t>
      </w:r>
      <w:proofErr w:type="gramStart"/>
      <w:r>
        <w:t>You</w:t>
      </w:r>
      <w:proofErr w:type="gramEnd"/>
      <w:r>
        <w:t xml:space="preserve"> can </w:t>
      </w:r>
      <w:r>
        <w:rPr>
          <w:u w:val="single"/>
        </w:rPr>
        <w:t>register online</w:t>
      </w:r>
      <w:r>
        <w:t xml:space="preserve"> or in-person). </w:t>
      </w:r>
    </w:p>
    <w:p w:rsidR="00D77AF0" w:rsidRDefault="00B348EE">
      <w:pPr>
        <w:numPr>
          <w:ilvl w:val="0"/>
          <w:numId w:val="16"/>
        </w:numPr>
        <w:spacing w:line="360" w:lineRule="auto"/>
        <w:ind w:hanging="360"/>
      </w:pPr>
      <w:r>
        <w:t>Only link to the page when it is first mentioned in your content, not every time i</w:t>
      </w:r>
      <w:r>
        <w:t>t appears.</w:t>
      </w:r>
    </w:p>
    <w:p w:rsidR="00D77AF0" w:rsidRDefault="00B348EE">
      <w:pPr>
        <w:numPr>
          <w:ilvl w:val="0"/>
          <w:numId w:val="16"/>
        </w:numPr>
        <w:spacing w:line="360" w:lineRule="auto"/>
        <w:ind w:hanging="360"/>
      </w:pPr>
      <w:r>
        <w:t>Have links open in a new tab.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rPr>
          <w:sz w:val="32"/>
          <w:szCs w:val="32"/>
        </w:rPr>
        <w:t>Inclusive Language</w:t>
      </w:r>
    </w:p>
    <w:p w:rsidR="00D77AF0" w:rsidRDefault="00B348EE">
      <w:pPr>
        <w:numPr>
          <w:ilvl w:val="0"/>
          <w:numId w:val="11"/>
        </w:numPr>
        <w:spacing w:line="360" w:lineRule="auto"/>
        <w:ind w:hanging="360"/>
      </w:pPr>
      <w:r>
        <w:t>Rewrite sentences whenever possible to eliminate gender-specific pronouns.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rPr>
          <w:sz w:val="32"/>
          <w:szCs w:val="32"/>
        </w:rPr>
        <w:lastRenderedPageBreak/>
        <w:t>Lists</w:t>
      </w:r>
      <w:r>
        <w:rPr>
          <w:sz w:val="32"/>
          <w:szCs w:val="32"/>
        </w:rPr>
        <w:br/>
      </w:r>
      <w:r>
        <w:rPr>
          <w:color w:val="444444"/>
        </w:rPr>
        <w:t xml:space="preserve">Use a colon to introduce a list only when the text following the colon does not flow naturally from it. In other </w:t>
      </w:r>
      <w:r>
        <w:rPr>
          <w:color w:val="444444"/>
        </w:rPr>
        <w:t xml:space="preserve">words, use a colon only when the text before the colon is a complete sentence. </w:t>
      </w:r>
      <w:proofErr w:type="gramStart"/>
      <w:r>
        <w:rPr>
          <w:color w:val="444444"/>
        </w:rPr>
        <w:t xml:space="preserve">If the items in the list </w:t>
      </w:r>
      <w:r>
        <w:rPr>
          <w:i/>
          <w:color w:val="444444"/>
        </w:rPr>
        <w:t>complete</w:t>
      </w:r>
      <w:r>
        <w:rPr>
          <w:color w:val="444444"/>
        </w:rPr>
        <w:t xml:space="preserve"> the text that introduces the list (turning it into a complete sentence), omit the colon and use end punctuation for each bullet item.</w:t>
      </w:r>
      <w:proofErr w:type="gramEnd"/>
      <w:r>
        <w:rPr>
          <w:color w:val="444444"/>
        </w:rPr>
        <w:t xml:space="preserve"> See examp</w:t>
      </w:r>
      <w:r>
        <w:rPr>
          <w:color w:val="444444"/>
        </w:rPr>
        <w:t xml:space="preserve">les below: </w:t>
      </w:r>
    </w:p>
    <w:p w:rsidR="00D77AF0" w:rsidRDefault="00B348EE">
      <w:pPr>
        <w:numPr>
          <w:ilvl w:val="0"/>
          <w:numId w:val="17"/>
        </w:numPr>
        <w:spacing w:line="360" w:lineRule="auto"/>
        <w:ind w:left="1120" w:right="220" w:hanging="360"/>
        <w:rPr>
          <w:rFonts w:ascii="Arial" w:eastAsia="Arial" w:hAnsi="Arial" w:cs="Arial"/>
          <w:sz w:val="22"/>
          <w:szCs w:val="22"/>
        </w:rPr>
      </w:pPr>
      <w:r>
        <w:rPr>
          <w:color w:val="444444"/>
        </w:rPr>
        <w:t>The students in the Tuesday afternoon seminar have three assignments:</w:t>
      </w:r>
    </w:p>
    <w:p w:rsidR="00D77AF0" w:rsidRDefault="00B348EE">
      <w:pPr>
        <w:numPr>
          <w:ilvl w:val="1"/>
          <w:numId w:val="17"/>
        </w:numPr>
        <w:spacing w:line="360" w:lineRule="auto"/>
        <w:ind w:left="2220" w:right="420" w:hanging="360"/>
        <w:rPr>
          <w:rFonts w:ascii="Arial" w:eastAsia="Arial" w:hAnsi="Arial" w:cs="Arial"/>
          <w:sz w:val="22"/>
          <w:szCs w:val="22"/>
        </w:rPr>
      </w:pPr>
      <w:r>
        <w:rPr>
          <w:color w:val="444444"/>
        </w:rPr>
        <w:t>Read a chapter in a novel from the 18th century.</w:t>
      </w:r>
    </w:p>
    <w:p w:rsidR="00D77AF0" w:rsidRDefault="00B348EE">
      <w:pPr>
        <w:numPr>
          <w:ilvl w:val="1"/>
          <w:numId w:val="17"/>
        </w:numPr>
        <w:spacing w:line="360" w:lineRule="auto"/>
        <w:ind w:left="2220" w:right="420" w:hanging="360"/>
        <w:rPr>
          <w:rFonts w:ascii="Arial" w:eastAsia="Arial" w:hAnsi="Arial" w:cs="Arial"/>
          <w:sz w:val="22"/>
          <w:szCs w:val="22"/>
        </w:rPr>
      </w:pPr>
      <w:r>
        <w:rPr>
          <w:color w:val="444444"/>
        </w:rPr>
        <w:t>Write an essay comparing it with a chapter in a novel from the 20th century.</w:t>
      </w:r>
    </w:p>
    <w:p w:rsidR="00D77AF0" w:rsidRDefault="00B348EE">
      <w:pPr>
        <w:numPr>
          <w:ilvl w:val="1"/>
          <w:numId w:val="17"/>
        </w:numPr>
        <w:spacing w:line="360" w:lineRule="auto"/>
        <w:ind w:left="2220" w:right="420" w:hanging="360"/>
        <w:rPr>
          <w:rFonts w:ascii="Arial" w:eastAsia="Arial" w:hAnsi="Arial" w:cs="Arial"/>
          <w:sz w:val="22"/>
          <w:szCs w:val="22"/>
        </w:rPr>
      </w:pPr>
      <w:r>
        <w:rPr>
          <w:color w:val="444444"/>
        </w:rPr>
        <w:t>Complete both projects by 5 p.m.</w:t>
      </w:r>
    </w:p>
    <w:p w:rsidR="00D77AF0" w:rsidRDefault="00B348EE">
      <w:pPr>
        <w:numPr>
          <w:ilvl w:val="0"/>
          <w:numId w:val="17"/>
        </w:numPr>
        <w:spacing w:line="360" w:lineRule="auto"/>
        <w:ind w:right="420" w:hanging="360"/>
        <w:rPr>
          <w:color w:val="444444"/>
        </w:rPr>
      </w:pPr>
      <w:r>
        <w:rPr>
          <w:color w:val="444444"/>
        </w:rPr>
        <w:t>The students in</w:t>
      </w:r>
      <w:r>
        <w:rPr>
          <w:color w:val="444444"/>
        </w:rPr>
        <w:t xml:space="preserve"> the Tuesday afternoon seminar must</w:t>
      </w:r>
    </w:p>
    <w:p w:rsidR="00D77AF0" w:rsidRDefault="00B348EE">
      <w:pPr>
        <w:numPr>
          <w:ilvl w:val="1"/>
          <w:numId w:val="17"/>
        </w:numPr>
        <w:spacing w:line="360" w:lineRule="auto"/>
        <w:ind w:right="420" w:hanging="360"/>
        <w:rPr>
          <w:color w:val="444444"/>
        </w:rPr>
      </w:pPr>
      <w:r>
        <w:rPr>
          <w:color w:val="444444"/>
        </w:rPr>
        <w:t>read a chapter in a novel from the 18th century,</w:t>
      </w:r>
    </w:p>
    <w:p w:rsidR="00D77AF0" w:rsidRDefault="00B348EE">
      <w:pPr>
        <w:numPr>
          <w:ilvl w:val="1"/>
          <w:numId w:val="17"/>
        </w:numPr>
        <w:spacing w:line="360" w:lineRule="auto"/>
        <w:ind w:right="420" w:hanging="360"/>
        <w:rPr>
          <w:color w:val="444444"/>
        </w:rPr>
      </w:pPr>
      <w:r>
        <w:rPr>
          <w:color w:val="444444"/>
        </w:rPr>
        <w:t>write an essay comparing it with a chapter in a novel from the 20th century,</w:t>
      </w:r>
    </w:p>
    <w:p w:rsidR="00D77AF0" w:rsidRDefault="00B348EE">
      <w:pPr>
        <w:numPr>
          <w:ilvl w:val="1"/>
          <w:numId w:val="17"/>
        </w:numPr>
        <w:spacing w:line="360" w:lineRule="auto"/>
        <w:ind w:right="420" w:hanging="360"/>
        <w:rPr>
          <w:color w:val="444444"/>
        </w:rPr>
      </w:pPr>
      <w:proofErr w:type="gramStart"/>
      <w:r>
        <w:rPr>
          <w:color w:val="444444"/>
        </w:rPr>
        <w:t>and</w:t>
      </w:r>
      <w:proofErr w:type="gramEnd"/>
      <w:r>
        <w:rPr>
          <w:color w:val="444444"/>
        </w:rPr>
        <w:t xml:space="preserve"> complete both projects by 5 p.m.</w:t>
      </w:r>
    </w:p>
    <w:p w:rsidR="00D77AF0" w:rsidRDefault="00B348EE">
      <w:pPr>
        <w:spacing w:line="360" w:lineRule="auto"/>
        <w:ind w:right="420"/>
      </w:pPr>
      <w:r>
        <w:rPr>
          <w:color w:val="444444"/>
        </w:rPr>
        <w:t>Bulleted items are capped if they do not grammatically complete the introductory sentence, such as in example 1; bulleted items begin with lowercase letter if they grammatically complete the introductory text. Terminal punctuation for bulleted items is opt</w:t>
      </w:r>
      <w:r>
        <w:rPr>
          <w:color w:val="444444"/>
        </w:rPr>
        <w:t>ional for phrases, and required for complete sentences. Simple lists (of one or two words per bullet) do not need punctuation.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rPr>
          <w:sz w:val="32"/>
          <w:szCs w:val="32"/>
        </w:rPr>
        <w:t>Names and Titles</w:t>
      </w:r>
    </w:p>
    <w:p w:rsidR="00D77AF0" w:rsidRDefault="00B348EE">
      <w:pPr>
        <w:spacing w:line="360" w:lineRule="auto"/>
      </w:pPr>
      <w:r>
        <w:t>Use the professional title “Dr.” only for licensed health care professionals. Follow with a period.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lastRenderedPageBreak/>
        <w:t>If a posit</w:t>
      </w:r>
      <w:r>
        <w:t>ion title appears after the person’s name in running text, use a comma to separate the two and capitalize the title (i.e., Steve Jones, Dean of Medicine…).</w:t>
      </w:r>
    </w:p>
    <w:p w:rsidR="00D77AF0" w:rsidRDefault="00D77AF0">
      <w:pPr>
        <w:spacing w:line="360" w:lineRule="auto"/>
      </w:pP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rPr>
          <w:sz w:val="32"/>
          <w:szCs w:val="32"/>
        </w:rPr>
        <w:t>Numbers</w:t>
      </w:r>
    </w:p>
    <w:p w:rsidR="00D77AF0" w:rsidRDefault="00B348EE">
      <w:pPr>
        <w:numPr>
          <w:ilvl w:val="0"/>
          <w:numId w:val="5"/>
        </w:numPr>
        <w:spacing w:line="360" w:lineRule="auto"/>
        <w:ind w:right="420" w:hanging="360"/>
      </w:pPr>
      <w:r>
        <w:t>In running text, spell the first nine numbers as words. Use digits for numbers 10 and abov</w:t>
      </w:r>
      <w:r>
        <w:t>e.</w:t>
      </w:r>
    </w:p>
    <w:p w:rsidR="00D77AF0" w:rsidRDefault="00B348EE">
      <w:pPr>
        <w:numPr>
          <w:ilvl w:val="0"/>
          <w:numId w:val="5"/>
        </w:numPr>
        <w:spacing w:line="360" w:lineRule="auto"/>
        <w:ind w:right="420" w:hanging="360"/>
      </w:pPr>
      <w:r>
        <w:t>If using numbers both above and below 10 in the same sentence, use digits.</w:t>
      </w:r>
    </w:p>
    <w:p w:rsidR="00D77AF0" w:rsidRDefault="00B348EE">
      <w:pPr>
        <w:numPr>
          <w:ilvl w:val="0"/>
          <w:numId w:val="5"/>
        </w:numPr>
        <w:spacing w:line="360" w:lineRule="auto"/>
        <w:ind w:right="420" w:hanging="360"/>
      </w:pPr>
      <w:r>
        <w:t>For numbers at the beginning of a sentence, always spell the number.</w:t>
      </w:r>
    </w:p>
    <w:p w:rsidR="00D77AF0" w:rsidRDefault="00D77AF0">
      <w:pPr>
        <w:pStyle w:val="Heading2"/>
        <w:spacing w:before="0" w:line="360" w:lineRule="auto"/>
        <w:contextualSpacing w:val="0"/>
      </w:pPr>
      <w:bookmarkStart w:id="5" w:name="h.xf2glb5w9xxw" w:colFirst="0" w:colLast="0"/>
      <w:bookmarkEnd w:id="5"/>
    </w:p>
    <w:p w:rsidR="00D77AF0" w:rsidRDefault="00B348EE">
      <w:pPr>
        <w:pStyle w:val="Heading2"/>
        <w:spacing w:before="0" w:line="360" w:lineRule="auto"/>
        <w:contextualSpacing w:val="0"/>
      </w:pPr>
      <w:bookmarkStart w:id="6" w:name="h.yfluo0rl3w4w" w:colFirst="0" w:colLast="0"/>
      <w:bookmarkEnd w:id="6"/>
      <w:r>
        <w:rPr>
          <w:rFonts w:ascii="Arial" w:eastAsia="Arial" w:hAnsi="Arial" w:cs="Arial"/>
        </w:rPr>
        <w:t>Telephone Numbers</w:t>
      </w:r>
    </w:p>
    <w:p w:rsidR="00D77AF0" w:rsidRDefault="00B348EE">
      <w:pPr>
        <w:numPr>
          <w:ilvl w:val="0"/>
          <w:numId w:val="2"/>
        </w:numPr>
        <w:spacing w:line="360" w:lineRule="auto"/>
        <w:ind w:hanging="360"/>
      </w:pPr>
      <w:r>
        <w:t>Put area codes in parentheses, then a hyphen between the two sets of numbers in a telephone number: (555) 123-4567</w:t>
      </w:r>
    </w:p>
    <w:p w:rsidR="00D77AF0" w:rsidRDefault="00B348EE">
      <w:pPr>
        <w:numPr>
          <w:ilvl w:val="0"/>
          <w:numId w:val="2"/>
        </w:numPr>
        <w:spacing w:line="360" w:lineRule="auto"/>
        <w:ind w:hanging="360"/>
      </w:pPr>
      <w:r>
        <w:t xml:space="preserve">Identify whether the number shown is a phone number, fax, or toll-free number i.e. </w:t>
      </w:r>
      <w:r>
        <w:rPr>
          <w:i/>
        </w:rPr>
        <w:t>Phone: (780) 555-5555.</w:t>
      </w:r>
      <w:r>
        <w:t xml:space="preserve"> Capitalize this label.</w:t>
      </w:r>
    </w:p>
    <w:p w:rsidR="00D77AF0" w:rsidRDefault="00D77AF0">
      <w:pPr>
        <w:pStyle w:val="Heading2"/>
        <w:spacing w:before="0" w:line="360" w:lineRule="auto"/>
        <w:contextualSpacing w:val="0"/>
      </w:pPr>
      <w:bookmarkStart w:id="7" w:name="h.sqp9elxiuwix" w:colFirst="0" w:colLast="0"/>
      <w:bookmarkEnd w:id="7"/>
    </w:p>
    <w:p w:rsidR="00D77AF0" w:rsidRDefault="00B348EE">
      <w:pPr>
        <w:pStyle w:val="Heading2"/>
        <w:spacing w:before="0" w:line="360" w:lineRule="auto"/>
        <w:contextualSpacing w:val="0"/>
      </w:pPr>
      <w:bookmarkStart w:id="8" w:name="h.azjqc8ewmbbw" w:colFirst="0" w:colLast="0"/>
      <w:bookmarkEnd w:id="8"/>
      <w:r>
        <w:rPr>
          <w:rFonts w:ascii="Arial" w:eastAsia="Arial" w:hAnsi="Arial" w:cs="Arial"/>
        </w:rPr>
        <w:t>Measurement</w:t>
      </w:r>
    </w:p>
    <w:p w:rsidR="00D77AF0" w:rsidRDefault="00B348EE">
      <w:pPr>
        <w:numPr>
          <w:ilvl w:val="0"/>
          <w:numId w:val="18"/>
        </w:numPr>
        <w:spacing w:line="360" w:lineRule="auto"/>
        <w:ind w:hanging="360"/>
        <w:rPr>
          <w:color w:val="2D2D2D"/>
        </w:rPr>
      </w:pPr>
      <w:r>
        <w:rPr>
          <w:color w:val="2D2D2D"/>
        </w:rPr>
        <w:t>Spell out units of measurement</w:t>
      </w:r>
    </w:p>
    <w:p w:rsidR="00D77AF0" w:rsidRDefault="00D77AF0">
      <w:pPr>
        <w:pStyle w:val="Heading2"/>
        <w:spacing w:before="0" w:line="360" w:lineRule="auto"/>
        <w:contextualSpacing w:val="0"/>
      </w:pPr>
      <w:bookmarkStart w:id="9" w:name="h.6zxp8ecl67h1" w:colFirst="0" w:colLast="0"/>
      <w:bookmarkEnd w:id="9"/>
    </w:p>
    <w:p w:rsidR="00D77AF0" w:rsidRDefault="00B348EE">
      <w:pPr>
        <w:pStyle w:val="Heading2"/>
        <w:spacing w:before="0" w:line="360" w:lineRule="auto"/>
        <w:contextualSpacing w:val="0"/>
      </w:pPr>
      <w:bookmarkStart w:id="10" w:name="h.3iqqae36qxtm" w:colFirst="0" w:colLast="0"/>
      <w:bookmarkEnd w:id="10"/>
      <w:r>
        <w:rPr>
          <w:rFonts w:ascii="Arial" w:eastAsia="Arial" w:hAnsi="Arial" w:cs="Arial"/>
        </w:rPr>
        <w:t>Money</w:t>
      </w:r>
    </w:p>
    <w:p w:rsidR="00D77AF0" w:rsidRDefault="00B348EE">
      <w:pPr>
        <w:numPr>
          <w:ilvl w:val="0"/>
          <w:numId w:val="8"/>
        </w:numPr>
        <w:spacing w:line="360" w:lineRule="auto"/>
        <w:ind w:hanging="360"/>
      </w:pPr>
      <w:r>
        <w:t xml:space="preserve">Express money in digits, using the correct symbol. Do not add a space between the symbol and the digit ($100). </w:t>
      </w:r>
    </w:p>
    <w:p w:rsidR="00D77AF0" w:rsidRDefault="00B348EE">
      <w:pPr>
        <w:numPr>
          <w:ilvl w:val="0"/>
          <w:numId w:val="8"/>
        </w:numPr>
        <w:spacing w:line="360" w:lineRule="auto"/>
        <w:ind w:hanging="360"/>
      </w:pPr>
      <w:r>
        <w:rPr>
          <w:color w:val="2D2D2D"/>
        </w:rPr>
        <w:t>Do not include zeros after the decimal in dollar figures unless at least one figure includes cents.</w:t>
      </w:r>
    </w:p>
    <w:p w:rsidR="00D77AF0" w:rsidRDefault="00D77AF0">
      <w:pPr>
        <w:pStyle w:val="Heading2"/>
        <w:spacing w:before="0" w:line="360" w:lineRule="auto"/>
        <w:contextualSpacing w:val="0"/>
      </w:pPr>
      <w:bookmarkStart w:id="11" w:name="h.k4870qt8ykbr" w:colFirst="0" w:colLast="0"/>
      <w:bookmarkEnd w:id="11"/>
    </w:p>
    <w:p w:rsidR="00D77AF0" w:rsidRDefault="00B348EE">
      <w:pPr>
        <w:pStyle w:val="Heading2"/>
        <w:spacing w:before="0" w:line="360" w:lineRule="auto"/>
        <w:contextualSpacing w:val="0"/>
      </w:pPr>
      <w:bookmarkStart w:id="12" w:name="h.h5xmm5q53vl5" w:colFirst="0" w:colLast="0"/>
      <w:bookmarkEnd w:id="12"/>
      <w:r>
        <w:rPr>
          <w:rFonts w:ascii="Arial" w:eastAsia="Arial" w:hAnsi="Arial" w:cs="Arial"/>
        </w:rPr>
        <w:t>Percentage</w:t>
      </w:r>
    </w:p>
    <w:p w:rsidR="00D77AF0" w:rsidRDefault="00B348EE">
      <w:pPr>
        <w:numPr>
          <w:ilvl w:val="0"/>
          <w:numId w:val="9"/>
        </w:numPr>
        <w:spacing w:line="360" w:lineRule="auto"/>
        <w:ind w:hanging="360"/>
      </w:pPr>
      <w:r>
        <w:t>Use numerals for percentages. E.g., 5 percent, 12 percent, 20 percent.</w:t>
      </w:r>
    </w:p>
    <w:p w:rsidR="00D77AF0" w:rsidRDefault="00B348EE">
      <w:pPr>
        <w:numPr>
          <w:ilvl w:val="0"/>
          <w:numId w:val="9"/>
        </w:numPr>
        <w:spacing w:line="360" w:lineRule="auto"/>
        <w:ind w:hanging="360"/>
      </w:pPr>
      <w:r>
        <w:lastRenderedPageBreak/>
        <w:t>Use the word “percent” instead of the symbol.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rPr>
          <w:sz w:val="32"/>
          <w:szCs w:val="32"/>
        </w:rPr>
        <w:t>Punctuation</w:t>
      </w:r>
    </w:p>
    <w:p w:rsidR="00D77AF0" w:rsidRDefault="00D77AF0">
      <w:pPr>
        <w:spacing w:line="360" w:lineRule="auto"/>
      </w:pPr>
    </w:p>
    <w:p w:rsidR="00D77AF0" w:rsidRDefault="00B348EE">
      <w:pPr>
        <w:pStyle w:val="Heading2"/>
        <w:spacing w:before="0" w:line="360" w:lineRule="auto"/>
        <w:contextualSpacing w:val="0"/>
      </w:pPr>
      <w:bookmarkStart w:id="13" w:name="h.wwgsq7mlx2i6" w:colFirst="0" w:colLast="0"/>
      <w:bookmarkEnd w:id="13"/>
      <w:r>
        <w:t>Accents</w:t>
      </w:r>
    </w:p>
    <w:p w:rsidR="00D77AF0" w:rsidRDefault="00B348EE">
      <w:pPr>
        <w:spacing w:line="360" w:lineRule="auto"/>
      </w:pPr>
      <w:r>
        <w:t xml:space="preserve">Include accents when using French words, or words from other languages that use these markings. </w:t>
      </w:r>
    </w:p>
    <w:p w:rsidR="00D77AF0" w:rsidRDefault="00D77AF0">
      <w:pPr>
        <w:spacing w:line="360" w:lineRule="auto"/>
      </w:pPr>
    </w:p>
    <w:p w:rsidR="00D77AF0" w:rsidRDefault="00B348EE">
      <w:pPr>
        <w:pStyle w:val="Heading2"/>
        <w:spacing w:before="0" w:line="360" w:lineRule="auto"/>
        <w:contextualSpacing w:val="0"/>
      </w:pPr>
      <w:bookmarkStart w:id="14" w:name="h.7v3sm9w04gz0" w:colFirst="0" w:colLast="0"/>
      <w:bookmarkEnd w:id="14"/>
      <w:r>
        <w:t>Ampersan</w:t>
      </w:r>
      <w:r>
        <w:t>d</w:t>
      </w:r>
    </w:p>
    <w:p w:rsidR="00D77AF0" w:rsidRDefault="00B348EE">
      <w:pPr>
        <w:spacing w:line="360" w:lineRule="auto"/>
      </w:pPr>
      <w:r>
        <w:t>Use “and” rather than ampersand (&amp;), except if it is part of an APA source citation (e.g., Miller &amp; Smith, 2015).</w:t>
      </w:r>
    </w:p>
    <w:p w:rsidR="00D77AF0" w:rsidRDefault="00D77AF0">
      <w:pPr>
        <w:spacing w:line="360" w:lineRule="auto"/>
      </w:pPr>
    </w:p>
    <w:p w:rsidR="00D77AF0" w:rsidRDefault="00B348EE">
      <w:pPr>
        <w:pStyle w:val="Heading2"/>
        <w:spacing w:before="0" w:line="360" w:lineRule="auto"/>
        <w:contextualSpacing w:val="0"/>
      </w:pPr>
      <w:bookmarkStart w:id="15" w:name="h.iw6rzs98i03s" w:colFirst="0" w:colLast="0"/>
      <w:bookmarkEnd w:id="15"/>
      <w:r>
        <w:t>Apostrophe</w:t>
      </w:r>
    </w:p>
    <w:p w:rsidR="00D77AF0" w:rsidRDefault="00B348EE">
      <w:pPr>
        <w:spacing w:line="360" w:lineRule="auto"/>
      </w:pPr>
      <w:r>
        <w:t xml:space="preserve">If a plural noun ends with an </w:t>
      </w:r>
      <w:r>
        <w:rPr>
          <w:i/>
        </w:rPr>
        <w:t>s</w:t>
      </w:r>
      <w:r>
        <w:t>, use an apostrophe to indicate possessiveness. For example, “The students’ complaint” (more than</w:t>
      </w:r>
      <w:r>
        <w:t xml:space="preserve"> one student complained). If the plural noun does not end with an </w:t>
      </w:r>
      <w:r>
        <w:rPr>
          <w:i/>
        </w:rPr>
        <w:t>s</w:t>
      </w:r>
      <w:r>
        <w:t xml:space="preserve">, use an apostrophe plus an </w:t>
      </w:r>
      <w:r>
        <w:rPr>
          <w:i/>
        </w:rPr>
        <w:t>s</w:t>
      </w:r>
      <w:r>
        <w:t xml:space="preserve">. </w:t>
      </w:r>
      <w:proofErr w:type="gramStart"/>
      <w:r>
        <w:t>For example, “The children’s lunch.”</w:t>
      </w:r>
      <w:proofErr w:type="gramEnd"/>
      <w:r>
        <w:t xml:space="preserve"> To indicate possession with a last name that ends in </w:t>
      </w:r>
      <w:r>
        <w:rPr>
          <w:i/>
        </w:rPr>
        <w:t>s</w:t>
      </w:r>
      <w:r>
        <w:t xml:space="preserve">, use an apostrophe and an </w:t>
      </w:r>
      <w:r>
        <w:rPr>
          <w:i/>
        </w:rPr>
        <w:t>s</w:t>
      </w:r>
      <w:r>
        <w:t xml:space="preserve"> (e.g., Mr. Jones’s garage sale, not Mr</w:t>
      </w:r>
      <w:r>
        <w:t xml:space="preserve">. Jones’ garage sale. </w:t>
      </w:r>
      <w:r>
        <w:rPr>
          <w:i/>
        </w:rPr>
        <w:t>But</w:t>
      </w:r>
      <w:r>
        <w:t xml:space="preserve">, </w:t>
      </w:r>
      <w:proofErr w:type="gramStart"/>
      <w:r>
        <w:t>The</w:t>
      </w:r>
      <w:proofErr w:type="gramEnd"/>
      <w:r>
        <w:t xml:space="preserve"> Joneses’ garage sale if referring to a multimember family).  </w:t>
      </w:r>
    </w:p>
    <w:p w:rsidR="00D77AF0" w:rsidRDefault="00D77AF0">
      <w:pPr>
        <w:spacing w:line="360" w:lineRule="auto"/>
      </w:pPr>
    </w:p>
    <w:p w:rsidR="00D77AF0" w:rsidRDefault="00B348EE">
      <w:pPr>
        <w:pStyle w:val="Heading2"/>
        <w:spacing w:before="0" w:line="360" w:lineRule="auto"/>
        <w:contextualSpacing w:val="0"/>
      </w:pPr>
      <w:bookmarkStart w:id="16" w:name="h.n4c0myyfb6zu" w:colFirst="0" w:colLast="0"/>
      <w:bookmarkEnd w:id="16"/>
      <w:r>
        <w:t>Brackets</w:t>
      </w:r>
    </w:p>
    <w:p w:rsidR="00D77AF0" w:rsidRDefault="00B348EE">
      <w:pPr>
        <w:spacing w:line="360" w:lineRule="auto"/>
      </w:pPr>
      <w:r>
        <w:t>If the final punctuation applies to the whole sentence, place the punctuation after the bracket (like this).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t xml:space="preserve">If the phrase found inside the brackets is </w:t>
      </w:r>
      <w:r>
        <w:t>a complete sentence, then the punctuation would be located inside the brackets. (This is an example of such a sentence.)</w:t>
      </w:r>
    </w:p>
    <w:p w:rsidR="00D77AF0" w:rsidRDefault="00D77AF0">
      <w:pPr>
        <w:spacing w:line="360" w:lineRule="auto"/>
      </w:pPr>
    </w:p>
    <w:p w:rsidR="00D77AF0" w:rsidRDefault="00B348EE">
      <w:pPr>
        <w:pStyle w:val="Heading2"/>
        <w:spacing w:before="0" w:line="360" w:lineRule="auto"/>
        <w:contextualSpacing w:val="0"/>
      </w:pPr>
      <w:bookmarkStart w:id="17" w:name="h.ejfme9ujnt18" w:colFirst="0" w:colLast="0"/>
      <w:bookmarkEnd w:id="17"/>
      <w:r>
        <w:lastRenderedPageBreak/>
        <w:t>Comma</w:t>
      </w:r>
    </w:p>
    <w:p w:rsidR="00D77AF0" w:rsidRDefault="00B348EE">
      <w:pPr>
        <w:spacing w:line="360" w:lineRule="auto"/>
      </w:pPr>
      <w:r>
        <w:t xml:space="preserve">Use the Oxford (serial) comma, which is the comma before </w:t>
      </w:r>
      <w:r>
        <w:rPr>
          <w:i/>
        </w:rPr>
        <w:t>and</w:t>
      </w:r>
      <w:r>
        <w:t xml:space="preserve"> (e.g., John, Paul, George, and Ringo).</w:t>
      </w:r>
    </w:p>
    <w:p w:rsidR="00D77AF0" w:rsidRDefault="00D77AF0">
      <w:pPr>
        <w:spacing w:line="360" w:lineRule="auto"/>
      </w:pPr>
    </w:p>
    <w:p w:rsidR="00D77AF0" w:rsidRDefault="00B348EE">
      <w:pPr>
        <w:pStyle w:val="Heading2"/>
        <w:spacing w:before="0" w:line="360" w:lineRule="auto"/>
        <w:contextualSpacing w:val="0"/>
      </w:pPr>
      <w:bookmarkStart w:id="18" w:name="h.7z259hlfway2" w:colFirst="0" w:colLast="0"/>
      <w:bookmarkEnd w:id="18"/>
      <w:r>
        <w:t>Hyphen</w:t>
      </w:r>
    </w:p>
    <w:p w:rsidR="00D77AF0" w:rsidRDefault="00B348EE">
      <w:pPr>
        <w:numPr>
          <w:ilvl w:val="0"/>
          <w:numId w:val="10"/>
        </w:numPr>
        <w:spacing w:line="360" w:lineRule="auto"/>
        <w:ind w:hanging="360"/>
      </w:pPr>
      <w:r>
        <w:t>Hyphenate compound modifiers that precede a noun (four-year-old child).</w:t>
      </w:r>
    </w:p>
    <w:p w:rsidR="00D77AF0" w:rsidRDefault="00B348EE">
      <w:pPr>
        <w:numPr>
          <w:ilvl w:val="0"/>
          <w:numId w:val="10"/>
        </w:numPr>
        <w:spacing w:line="360" w:lineRule="auto"/>
        <w:ind w:hanging="360"/>
      </w:pPr>
      <w:r>
        <w:t>Hyphenate written compound numerals between 21 and 99 (twenty-one).</w:t>
      </w:r>
    </w:p>
    <w:p w:rsidR="00D77AF0" w:rsidRDefault="00B348EE">
      <w:pPr>
        <w:numPr>
          <w:ilvl w:val="0"/>
          <w:numId w:val="10"/>
        </w:numPr>
        <w:spacing w:line="360" w:lineRule="auto"/>
        <w:ind w:hanging="360"/>
      </w:pPr>
      <w:r>
        <w:t>Hyphenate joint titles (Vice-President).</w:t>
      </w:r>
    </w:p>
    <w:p w:rsidR="00D77AF0" w:rsidRDefault="00B348EE">
      <w:pPr>
        <w:numPr>
          <w:ilvl w:val="0"/>
          <w:numId w:val="10"/>
        </w:numPr>
        <w:spacing w:line="360" w:lineRule="auto"/>
        <w:ind w:hanging="360"/>
      </w:pPr>
      <w:r>
        <w:t xml:space="preserve">Do not hyphenate words with the prefix </w:t>
      </w:r>
      <w:r>
        <w:rPr>
          <w:i/>
        </w:rPr>
        <w:t>by</w:t>
      </w:r>
      <w:r>
        <w:t xml:space="preserve"> (e.g., bylaw).</w:t>
      </w:r>
    </w:p>
    <w:p w:rsidR="00D77AF0" w:rsidRDefault="00D77AF0">
      <w:pPr>
        <w:spacing w:line="360" w:lineRule="auto"/>
      </w:pPr>
    </w:p>
    <w:p w:rsidR="00D77AF0" w:rsidRDefault="00B348EE">
      <w:pPr>
        <w:pStyle w:val="Heading2"/>
        <w:spacing w:before="0" w:line="360" w:lineRule="auto"/>
        <w:contextualSpacing w:val="0"/>
      </w:pPr>
      <w:bookmarkStart w:id="19" w:name="h.9ty2slp4wg02" w:colFirst="0" w:colLast="0"/>
      <w:bookmarkEnd w:id="19"/>
      <w:r>
        <w:t>Periods</w:t>
      </w:r>
    </w:p>
    <w:p w:rsidR="00D77AF0" w:rsidRDefault="00B348EE">
      <w:pPr>
        <w:numPr>
          <w:ilvl w:val="0"/>
          <w:numId w:val="12"/>
        </w:numPr>
        <w:spacing w:line="360" w:lineRule="auto"/>
        <w:ind w:hanging="360"/>
      </w:pPr>
      <w:r>
        <w:t>Headlines</w:t>
      </w:r>
      <w:r>
        <w:t xml:space="preserve">, </w:t>
      </w:r>
      <w:proofErr w:type="spellStart"/>
      <w:r>
        <w:t>subheadlines</w:t>
      </w:r>
      <w:proofErr w:type="spellEnd"/>
      <w:r>
        <w:t>, and page titles should not have periods.</w:t>
      </w:r>
    </w:p>
    <w:p w:rsidR="00D77AF0" w:rsidRDefault="00B348EE">
      <w:pPr>
        <w:numPr>
          <w:ilvl w:val="0"/>
          <w:numId w:val="12"/>
        </w:numPr>
        <w:spacing w:line="360" w:lineRule="auto"/>
        <w:ind w:hanging="360"/>
      </w:pPr>
      <w:r>
        <w:t>Periods go inside the closing quote mark (</w:t>
      </w:r>
      <w:r>
        <w:rPr>
          <w:i/>
        </w:rPr>
        <w:t>He said, “I’m late for a very important date.”)</w:t>
      </w:r>
    </w:p>
    <w:p w:rsidR="00D77AF0" w:rsidRDefault="00D77AF0">
      <w:pPr>
        <w:spacing w:line="360" w:lineRule="auto"/>
      </w:pPr>
    </w:p>
    <w:p w:rsidR="00D77AF0" w:rsidRDefault="00B348EE">
      <w:pPr>
        <w:pStyle w:val="Heading2"/>
        <w:spacing w:before="0" w:line="360" w:lineRule="auto"/>
        <w:contextualSpacing w:val="0"/>
      </w:pPr>
      <w:bookmarkStart w:id="20" w:name="h.fnne90ztlvf" w:colFirst="0" w:colLast="0"/>
      <w:bookmarkEnd w:id="20"/>
      <w:r>
        <w:t>Quotation Marks</w:t>
      </w:r>
    </w:p>
    <w:p w:rsidR="00D77AF0" w:rsidRDefault="00B348EE">
      <w:pPr>
        <w:numPr>
          <w:ilvl w:val="0"/>
          <w:numId w:val="15"/>
        </w:numPr>
        <w:spacing w:line="360" w:lineRule="auto"/>
        <w:ind w:hanging="360"/>
      </w:pPr>
      <w:r>
        <w:t xml:space="preserve">To highlight a word or phrase, use double quotation marks in running text </w:t>
      </w:r>
    </w:p>
    <w:p w:rsidR="00D77AF0" w:rsidRDefault="00B348EE">
      <w:pPr>
        <w:numPr>
          <w:ilvl w:val="0"/>
          <w:numId w:val="15"/>
        </w:numPr>
        <w:spacing w:line="360" w:lineRule="auto"/>
        <w:ind w:hanging="360"/>
      </w:pPr>
      <w:r>
        <w:t>Use double quotation marks to enclose direct quotations. Use single quotation marks within double quotation marks if quoting within a quote.</w:t>
      </w:r>
    </w:p>
    <w:p w:rsidR="00D77AF0" w:rsidRDefault="00B348EE">
      <w:pPr>
        <w:numPr>
          <w:ilvl w:val="0"/>
          <w:numId w:val="15"/>
        </w:numPr>
        <w:spacing w:line="360" w:lineRule="auto"/>
        <w:ind w:hanging="360"/>
      </w:pPr>
      <w:r>
        <w:t>Periods and commas are placed inside quotation marks; colons and semicolons are placed outside.</w:t>
      </w:r>
    </w:p>
    <w:p w:rsidR="00D77AF0" w:rsidRDefault="00B348EE">
      <w:pPr>
        <w:numPr>
          <w:ilvl w:val="0"/>
          <w:numId w:val="15"/>
        </w:numPr>
        <w:spacing w:line="360" w:lineRule="auto"/>
        <w:ind w:hanging="360"/>
      </w:pPr>
      <w:r>
        <w:t>When a sentence end</w:t>
      </w:r>
      <w:r>
        <w:t>s with a single and double quotation marks, separate them with a space</w:t>
      </w:r>
    </w:p>
    <w:p w:rsidR="00D77AF0" w:rsidRDefault="00D77AF0">
      <w:pPr>
        <w:spacing w:line="360" w:lineRule="auto"/>
      </w:pPr>
    </w:p>
    <w:p w:rsidR="00D77AF0" w:rsidRDefault="00B348EE">
      <w:pPr>
        <w:pStyle w:val="Heading2"/>
        <w:spacing w:before="0" w:line="360" w:lineRule="auto"/>
        <w:contextualSpacing w:val="0"/>
      </w:pPr>
      <w:bookmarkStart w:id="21" w:name="h.1obqvc98v2by" w:colFirst="0" w:colLast="0"/>
      <w:bookmarkEnd w:id="21"/>
      <w:r>
        <w:t>Special Characters</w:t>
      </w:r>
    </w:p>
    <w:p w:rsidR="00D77AF0" w:rsidRDefault="00B348EE">
      <w:pPr>
        <w:numPr>
          <w:ilvl w:val="0"/>
          <w:numId w:val="3"/>
        </w:numPr>
        <w:spacing w:line="360" w:lineRule="auto"/>
        <w:ind w:hanging="360"/>
      </w:pPr>
      <w:r>
        <w:t>Use exclamation marks (!) sparingly.</w:t>
      </w:r>
    </w:p>
    <w:p w:rsidR="00D77AF0" w:rsidRDefault="00B348EE">
      <w:pPr>
        <w:numPr>
          <w:ilvl w:val="0"/>
          <w:numId w:val="3"/>
        </w:numPr>
        <w:spacing w:line="360" w:lineRule="auto"/>
        <w:ind w:hanging="360"/>
      </w:pPr>
      <w:r>
        <w:lastRenderedPageBreak/>
        <w:t>Ellipses […] indicate an omission from a text or quotation. Surround with square brackets and place a space before and after the</w:t>
      </w:r>
      <w:r>
        <w:t xml:space="preserve"> ellipse</w:t>
      </w:r>
    </w:p>
    <w:p w:rsidR="00D77AF0" w:rsidRDefault="00D77AF0">
      <w:pPr>
        <w:spacing w:line="360" w:lineRule="auto"/>
      </w:pPr>
    </w:p>
    <w:p w:rsidR="00D77AF0" w:rsidRDefault="00B348EE">
      <w:pPr>
        <w:pStyle w:val="Heading1"/>
        <w:spacing w:before="0" w:line="360" w:lineRule="auto"/>
        <w:contextualSpacing w:val="0"/>
      </w:pPr>
      <w:bookmarkStart w:id="22" w:name="h.mf4v27ha9i0u" w:colFirst="0" w:colLast="0"/>
      <w:bookmarkEnd w:id="22"/>
      <w:r>
        <w:t>Spacing</w:t>
      </w:r>
    </w:p>
    <w:p w:rsidR="00D77AF0" w:rsidRDefault="00B348EE">
      <w:pPr>
        <w:numPr>
          <w:ilvl w:val="0"/>
          <w:numId w:val="13"/>
        </w:numPr>
        <w:spacing w:line="360" w:lineRule="auto"/>
        <w:ind w:hanging="360"/>
      </w:pPr>
      <w:r>
        <w:t>After the end punctuation of a sentence, use one space before starting your next sentence.</w:t>
      </w:r>
    </w:p>
    <w:p w:rsidR="00D77AF0" w:rsidRDefault="00B348EE">
      <w:pPr>
        <w:numPr>
          <w:ilvl w:val="0"/>
          <w:numId w:val="13"/>
        </w:numPr>
        <w:spacing w:line="360" w:lineRule="auto"/>
        <w:ind w:hanging="360"/>
      </w:pPr>
      <w:r>
        <w:t>After a title, skip one line before beginning the body text</w:t>
      </w:r>
    </w:p>
    <w:p w:rsidR="00D77AF0" w:rsidRDefault="00B348EE">
      <w:pPr>
        <w:numPr>
          <w:ilvl w:val="0"/>
          <w:numId w:val="13"/>
        </w:numPr>
        <w:spacing w:line="360" w:lineRule="auto"/>
        <w:ind w:hanging="360"/>
      </w:pPr>
      <w:r>
        <w:t>After a paragraph, skip one line before beginning the next paragraph</w:t>
      </w:r>
    </w:p>
    <w:p w:rsidR="00D77AF0" w:rsidRDefault="00B348EE">
      <w:pPr>
        <w:numPr>
          <w:ilvl w:val="0"/>
          <w:numId w:val="13"/>
        </w:numPr>
        <w:spacing w:line="360" w:lineRule="auto"/>
        <w:ind w:hanging="360"/>
      </w:pPr>
      <w:r>
        <w:t>After a document section, skip two lines before beginning the next section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rPr>
          <w:sz w:val="32"/>
          <w:szCs w:val="32"/>
        </w:rPr>
        <w:t>Spelling</w:t>
      </w:r>
    </w:p>
    <w:p w:rsidR="00D77AF0" w:rsidRDefault="00B348EE">
      <w:pPr>
        <w:spacing w:line="360" w:lineRule="auto"/>
      </w:pPr>
      <w:r>
        <w:t xml:space="preserve">Use Canadian spelling. Consult the </w:t>
      </w:r>
      <w:r>
        <w:rPr>
          <w:i/>
        </w:rPr>
        <w:t xml:space="preserve">Canadian Oxford Dictionary </w:t>
      </w:r>
      <w:r>
        <w:t>for clarifications.</w:t>
      </w:r>
    </w:p>
    <w:p w:rsidR="00D77AF0" w:rsidRDefault="00D77AF0">
      <w:pPr>
        <w:spacing w:line="360" w:lineRule="auto"/>
      </w:pP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rPr>
          <w:sz w:val="32"/>
          <w:szCs w:val="32"/>
        </w:rPr>
        <w:t>Style and Tone</w:t>
      </w:r>
    </w:p>
    <w:p w:rsidR="00D77AF0" w:rsidRDefault="00B348EE">
      <w:pPr>
        <w:numPr>
          <w:ilvl w:val="0"/>
          <w:numId w:val="4"/>
        </w:numPr>
        <w:spacing w:line="360" w:lineRule="auto"/>
        <w:ind w:hanging="360"/>
      </w:pPr>
      <w:r>
        <w:t>Use the second person singular/plural (You)</w:t>
      </w:r>
    </w:p>
    <w:p w:rsidR="00D77AF0" w:rsidRDefault="00B348EE">
      <w:pPr>
        <w:numPr>
          <w:ilvl w:val="0"/>
          <w:numId w:val="4"/>
        </w:numPr>
        <w:spacing w:line="360" w:lineRule="auto"/>
        <w:ind w:hanging="360"/>
      </w:pPr>
      <w:r>
        <w:t>Use the active voice as much</w:t>
      </w:r>
      <w:r>
        <w:t xml:space="preserve"> as possible</w:t>
      </w:r>
    </w:p>
    <w:p w:rsidR="00D77AF0" w:rsidRDefault="00D77AF0">
      <w:pPr>
        <w:spacing w:line="360" w:lineRule="auto"/>
      </w:pPr>
    </w:p>
    <w:p w:rsidR="00D77AF0" w:rsidRDefault="00B348EE">
      <w:pPr>
        <w:spacing w:line="360" w:lineRule="auto"/>
      </w:pPr>
      <w:r>
        <w:rPr>
          <w:sz w:val="32"/>
          <w:szCs w:val="32"/>
        </w:rPr>
        <w:t>Word List</w:t>
      </w:r>
    </w:p>
    <w:p w:rsidR="00D77AF0" w:rsidRDefault="00B348EE">
      <w:pPr>
        <w:numPr>
          <w:ilvl w:val="0"/>
          <w:numId w:val="14"/>
        </w:numPr>
        <w:spacing w:line="360" w:lineRule="auto"/>
        <w:ind w:hanging="360"/>
      </w:pPr>
      <w:r>
        <w:t>message (not capitalized)</w:t>
      </w:r>
    </w:p>
    <w:p w:rsidR="00D77AF0" w:rsidRDefault="00B348EE">
      <w:pPr>
        <w:numPr>
          <w:ilvl w:val="0"/>
          <w:numId w:val="14"/>
        </w:numPr>
        <w:spacing w:line="360" w:lineRule="auto"/>
        <w:ind w:hanging="360"/>
      </w:pPr>
      <w:r>
        <w:t>email (no dash)</w:t>
      </w:r>
    </w:p>
    <w:p w:rsidR="00D77AF0" w:rsidRDefault="00B348EE">
      <w:pPr>
        <w:numPr>
          <w:ilvl w:val="0"/>
          <w:numId w:val="14"/>
        </w:numPr>
        <w:spacing w:line="360" w:lineRule="auto"/>
        <w:ind w:hanging="360"/>
      </w:pPr>
      <w:r>
        <w:t xml:space="preserve">web page (not capitalized, not </w:t>
      </w:r>
      <w:r>
        <w:rPr>
          <w:i/>
        </w:rPr>
        <w:t>webpage</w:t>
      </w:r>
      <w:r>
        <w:t xml:space="preserve">; use </w:t>
      </w:r>
      <w:r>
        <w:rPr>
          <w:i/>
        </w:rPr>
        <w:t>website</w:t>
      </w:r>
      <w:r>
        <w:t xml:space="preserve"> wherever possible unless referring to a specific page of a website)</w:t>
      </w:r>
    </w:p>
    <w:p w:rsidR="00D77AF0" w:rsidRDefault="00B348EE">
      <w:pPr>
        <w:numPr>
          <w:ilvl w:val="0"/>
          <w:numId w:val="14"/>
        </w:numPr>
        <w:spacing w:line="360" w:lineRule="auto"/>
        <w:ind w:hanging="360"/>
      </w:pPr>
      <w:r>
        <w:t>The communication channels are verbal, non-verbal, written, and digita</w:t>
      </w:r>
      <w:r>
        <w:t xml:space="preserve">l (NOT oral, NOT nonverbal written as one word) </w:t>
      </w:r>
    </w:p>
    <w:p w:rsidR="00D77AF0" w:rsidRDefault="00B348EE">
      <w:pPr>
        <w:numPr>
          <w:ilvl w:val="0"/>
          <w:numId w:val="14"/>
        </w:numPr>
        <w:spacing w:line="360" w:lineRule="auto"/>
        <w:ind w:hanging="360"/>
      </w:pPr>
      <w:proofErr w:type="gramStart"/>
      <w:r>
        <w:lastRenderedPageBreak/>
        <w:t>professional</w:t>
      </w:r>
      <w:proofErr w:type="gramEnd"/>
      <w:r>
        <w:t xml:space="preserve"> communication NOT workplace communication. OK to refer to the “workplace” as a physical location, though.</w:t>
      </w:r>
    </w:p>
    <w:p w:rsidR="00D77AF0" w:rsidRDefault="00D77AF0">
      <w:pPr>
        <w:spacing w:line="360" w:lineRule="auto"/>
      </w:pPr>
    </w:p>
    <w:p w:rsidR="00D77AF0" w:rsidRDefault="00D77AF0">
      <w:pPr>
        <w:spacing w:line="360" w:lineRule="auto"/>
      </w:pPr>
    </w:p>
    <w:sectPr w:rsidR="00D77AF0">
      <w:footerReference w:type="default" r:id="rId11"/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8EE" w:rsidRDefault="00B348EE">
      <w:pPr>
        <w:spacing w:line="240" w:lineRule="auto"/>
      </w:pPr>
      <w:r>
        <w:separator/>
      </w:r>
    </w:p>
  </w:endnote>
  <w:endnote w:type="continuationSeparator" w:id="0">
    <w:p w:rsidR="00B348EE" w:rsidRDefault="00B348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oboto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AF0" w:rsidRDefault="00D77AF0"/>
  <w:tbl>
    <w:tblPr>
      <w:tblStyle w:val="a"/>
      <w:tblW w:w="12225" w:type="dxa"/>
      <w:tblInd w:w="-1440" w:type="dxa"/>
      <w:tblLayout w:type="fixed"/>
      <w:tblLook w:val="0600" w:firstRow="0" w:lastRow="0" w:firstColumn="0" w:lastColumn="0" w:noHBand="1" w:noVBand="1"/>
    </w:tblPr>
    <w:tblGrid>
      <w:gridCol w:w="4365"/>
      <w:gridCol w:w="5880"/>
      <w:gridCol w:w="360"/>
      <w:gridCol w:w="1620"/>
    </w:tblGrid>
    <w:tr w:rsidR="00D77AF0">
      <w:tc>
        <w:tcPr>
          <w:tcW w:w="4365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77AF0" w:rsidRDefault="00B348EE">
          <w:pPr>
            <w:spacing w:line="288" w:lineRule="auto"/>
            <w:ind w:left="180"/>
          </w:pPr>
          <w:r>
            <w:rPr>
              <w:noProof/>
            </w:rPr>
            <w:drawing>
              <wp:inline distT="114300" distB="114300" distL="114300" distR="114300">
                <wp:extent cx="1014413" cy="197044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4413" cy="19704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D77AF0" w:rsidRDefault="00B348EE">
          <w:pPr>
            <w:spacing w:line="288" w:lineRule="auto"/>
            <w:ind w:left="180"/>
          </w:pPr>
          <w:r>
            <w:rPr>
              <w:rFonts w:ascii="Arial" w:eastAsia="Arial" w:hAnsi="Arial" w:cs="Arial"/>
              <w:color w:val="FFFFFF"/>
              <w:sz w:val="16"/>
              <w:szCs w:val="16"/>
              <w:shd w:val="clear" w:color="auto" w:fill="2E3747"/>
            </w:rPr>
            <w:t>This material is licensed under a</w:t>
          </w:r>
          <w:hyperlink r:id="rId2">
            <w:r>
              <w:rPr>
                <w:rFonts w:ascii="Arial" w:eastAsia="Arial" w:hAnsi="Arial" w:cs="Arial"/>
                <w:color w:val="FFFFFF"/>
                <w:sz w:val="16"/>
                <w:szCs w:val="16"/>
                <w:shd w:val="clear" w:color="auto" w:fill="2E3747"/>
              </w:rPr>
              <w:t xml:space="preserve"> </w:t>
            </w:r>
          </w:hyperlink>
          <w:hyperlink r:id="rId3">
            <w:r>
              <w:rPr>
                <w:rFonts w:ascii="Arial" w:eastAsia="Arial" w:hAnsi="Arial" w:cs="Arial"/>
                <w:color w:val="00C5B9"/>
                <w:sz w:val="16"/>
                <w:szCs w:val="16"/>
                <w:u w:val="single"/>
                <w:shd w:val="clear" w:color="auto" w:fill="2E3747"/>
              </w:rPr>
              <w:t>Creative Commons Attribution 4.0 License</w:t>
            </w:r>
          </w:hyperlink>
        </w:p>
      </w:tc>
      <w:tc>
        <w:tcPr>
          <w:tcW w:w="5880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77AF0" w:rsidRDefault="00B348EE">
          <w:pPr>
            <w:spacing w:line="288" w:lineRule="auto"/>
            <w:ind w:left="60"/>
            <w:jc w:val="right"/>
          </w:pPr>
          <w:r>
            <w:rPr>
              <w:color w:val="FFFFFF"/>
              <w:sz w:val="28"/>
              <w:szCs w:val="28"/>
              <w:shd w:val="clear" w:color="auto" w:fill="2E3747"/>
            </w:rPr>
            <w:t>Editorial Style Guide Example</w:t>
          </w:r>
        </w:p>
        <w:p w:rsidR="00D77AF0" w:rsidRDefault="00B348EE">
          <w:pPr>
            <w:spacing w:line="331" w:lineRule="auto"/>
            <w:ind w:left="60"/>
            <w:jc w:val="right"/>
          </w:pPr>
          <w:r>
            <w:rPr>
              <w:color w:val="FFFFFF"/>
              <w:shd w:val="clear" w:color="auto" w:fill="2E3747"/>
            </w:rPr>
            <w:t>Professional Communications OER</w:t>
          </w:r>
        </w:p>
      </w:tc>
      <w:tc>
        <w:tcPr>
          <w:tcW w:w="360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77AF0" w:rsidRDefault="00D77AF0">
          <w:pPr>
            <w:ind w:left="-1440"/>
          </w:pPr>
        </w:p>
      </w:tc>
      <w:tc>
        <w:tcPr>
          <w:tcW w:w="1620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D77AF0" w:rsidRDefault="00B348EE">
          <w:pPr>
            <w:spacing w:line="288" w:lineRule="auto"/>
            <w:ind w:left="-1440"/>
            <w:jc w:val="right"/>
          </w:pPr>
          <w:r>
            <w:rPr>
              <w:color w:val="FFFFFF"/>
              <w:shd w:val="clear" w:color="auto" w:fill="2E3747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05260C">
            <w:rPr>
              <w:noProof/>
            </w:rPr>
            <w:t>1</w:t>
          </w:r>
          <w:r>
            <w:fldChar w:fldCharType="end"/>
          </w:r>
          <w:r>
            <w:rPr>
              <w:color w:val="FFFFFF"/>
              <w:shd w:val="clear" w:color="auto" w:fill="2E3747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05260C">
            <w:rPr>
              <w:noProof/>
            </w:rPr>
            <w:t>9</w:t>
          </w:r>
          <w:r>
            <w:fldChar w:fldCharType="end"/>
          </w:r>
        </w:p>
      </w:tc>
    </w:tr>
  </w:tbl>
  <w:p w:rsidR="00D77AF0" w:rsidRDefault="00D77AF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8EE" w:rsidRDefault="00B348EE">
      <w:pPr>
        <w:spacing w:line="240" w:lineRule="auto"/>
      </w:pPr>
      <w:r>
        <w:separator/>
      </w:r>
    </w:p>
  </w:footnote>
  <w:footnote w:type="continuationSeparator" w:id="0">
    <w:p w:rsidR="00B348EE" w:rsidRDefault="00B348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B0806"/>
    <w:multiLevelType w:val="multilevel"/>
    <w:tmpl w:val="D89A4DB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CA13854"/>
    <w:multiLevelType w:val="multilevel"/>
    <w:tmpl w:val="528E726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0D837A79"/>
    <w:multiLevelType w:val="multilevel"/>
    <w:tmpl w:val="AFE4364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0E115525"/>
    <w:multiLevelType w:val="multilevel"/>
    <w:tmpl w:val="4D3AF89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158843B9"/>
    <w:multiLevelType w:val="multilevel"/>
    <w:tmpl w:val="A7C6CB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20185FBE"/>
    <w:multiLevelType w:val="multilevel"/>
    <w:tmpl w:val="6A9C583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21015950"/>
    <w:multiLevelType w:val="multilevel"/>
    <w:tmpl w:val="18B0917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43E60F5B"/>
    <w:multiLevelType w:val="multilevel"/>
    <w:tmpl w:val="8270684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483A0D24"/>
    <w:multiLevelType w:val="multilevel"/>
    <w:tmpl w:val="809C668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4FCA4C62"/>
    <w:multiLevelType w:val="multilevel"/>
    <w:tmpl w:val="08F4C0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53EE098F"/>
    <w:multiLevelType w:val="multilevel"/>
    <w:tmpl w:val="D328319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57053239"/>
    <w:multiLevelType w:val="multilevel"/>
    <w:tmpl w:val="F48A15E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5A8B5413"/>
    <w:multiLevelType w:val="multilevel"/>
    <w:tmpl w:val="5C7C6A9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72C12842"/>
    <w:multiLevelType w:val="multilevel"/>
    <w:tmpl w:val="32A421E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nsid w:val="74F0697D"/>
    <w:multiLevelType w:val="multilevel"/>
    <w:tmpl w:val="677EDADC"/>
    <w:lvl w:ilvl="0">
      <w:start w:val="1"/>
      <w:numFmt w:val="decimal"/>
      <w:lvlText w:val="%1."/>
      <w:lvlJc w:val="left"/>
      <w:pPr>
        <w:ind w:left="720" w:firstLine="360"/>
      </w:pPr>
      <w:rPr>
        <w:rFonts w:ascii="Verdana" w:eastAsia="Verdana" w:hAnsi="Verdana" w:cs="Verdana"/>
        <w:color w:val="444444"/>
        <w:sz w:val="20"/>
        <w:szCs w:val="20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Verdana" w:eastAsia="Verdana" w:hAnsi="Verdana" w:cs="Verdana"/>
        <w:color w:val="444444"/>
        <w:sz w:val="20"/>
        <w:szCs w:val="20"/>
        <w:highlight w:val="white"/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15">
    <w:nsid w:val="78C8564E"/>
    <w:multiLevelType w:val="multilevel"/>
    <w:tmpl w:val="75363BA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7F1B122A"/>
    <w:multiLevelType w:val="multilevel"/>
    <w:tmpl w:val="35EE664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nsid w:val="7FA0731F"/>
    <w:multiLevelType w:val="multilevel"/>
    <w:tmpl w:val="85C2060A"/>
    <w:lvl w:ilvl="0">
      <w:start w:val="1"/>
      <w:numFmt w:val="bullet"/>
      <w:lvlText w:val="●"/>
      <w:lvlJc w:val="left"/>
      <w:pPr>
        <w:ind w:left="720" w:firstLine="360"/>
      </w:pPr>
      <w:rPr>
        <w:rFonts w:ascii="Verdana" w:eastAsia="Verdana" w:hAnsi="Verdana" w:cs="Verdana"/>
        <w:sz w:val="18"/>
        <w:szCs w:val="18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7"/>
  </w:num>
  <w:num w:numId="5">
    <w:abstractNumId w:val="10"/>
  </w:num>
  <w:num w:numId="6">
    <w:abstractNumId w:val="17"/>
  </w:num>
  <w:num w:numId="7">
    <w:abstractNumId w:val="2"/>
  </w:num>
  <w:num w:numId="8">
    <w:abstractNumId w:val="15"/>
  </w:num>
  <w:num w:numId="9">
    <w:abstractNumId w:val="6"/>
  </w:num>
  <w:num w:numId="10">
    <w:abstractNumId w:val="1"/>
  </w:num>
  <w:num w:numId="11">
    <w:abstractNumId w:val="4"/>
  </w:num>
  <w:num w:numId="12">
    <w:abstractNumId w:val="16"/>
  </w:num>
  <w:num w:numId="13">
    <w:abstractNumId w:val="0"/>
  </w:num>
  <w:num w:numId="14">
    <w:abstractNumId w:val="3"/>
  </w:num>
  <w:num w:numId="15">
    <w:abstractNumId w:val="5"/>
  </w:num>
  <w:num w:numId="16">
    <w:abstractNumId w:val="13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77AF0"/>
    <w:rsid w:val="0005260C"/>
    <w:rsid w:val="00B348EE"/>
    <w:rsid w:val="00D7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boto" w:eastAsia="Roboto" w:hAnsi="Roboto" w:cs="Roboto"/>
        <w:color w:val="000000"/>
        <w:sz w:val="24"/>
        <w:szCs w:val="24"/>
        <w:lang w:val="en-CA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26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boto" w:eastAsia="Roboto" w:hAnsi="Roboto" w:cs="Roboto"/>
        <w:color w:val="000000"/>
        <w:sz w:val="24"/>
        <w:szCs w:val="24"/>
        <w:lang w:val="en-CA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26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xforddictionarie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/4.0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1311</Words>
  <Characters>7479</Characters>
  <Application>Microsoft Office Word</Application>
  <DocSecurity>0</DocSecurity>
  <Lines>62</Lines>
  <Paragraphs>17</Paragraphs>
  <ScaleCrop>false</ScaleCrop>
  <Company>Hewlett-Packard</Company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2016-12-05T17:32:00Z</dcterms:created>
  <dcterms:modified xsi:type="dcterms:W3CDTF">2016-12-05T17:33:00Z</dcterms:modified>
</cp:coreProperties>
</file>