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B43F" w14:textId="77777777" w:rsidR="009B7CFC" w:rsidRDefault="009B7CFC" w:rsidP="009B7CFC">
      <w:pPr>
        <w:pStyle w:val="NormalWeb"/>
        <w:jc w:val="center"/>
        <w:rPr>
          <w:rStyle w:val="Strong"/>
          <w:b w:val="0"/>
        </w:rPr>
      </w:pPr>
      <w:r>
        <w:rPr>
          <w:rStyle w:val="Strong"/>
          <w:b w:val="0"/>
        </w:rPr>
        <w:t>Versioning History</w:t>
      </w:r>
    </w:p>
    <w:p w14:paraId="4AE69998" w14:textId="457CAC58" w:rsidR="009B7CFC" w:rsidRPr="009B7CFC" w:rsidRDefault="009B7CFC" w:rsidP="009B7CFC">
      <w:pPr>
        <w:pStyle w:val="NormalWeb"/>
        <w:rPr>
          <w:b/>
        </w:rPr>
      </w:pPr>
      <w:r w:rsidRPr="009B7CFC">
        <w:rPr>
          <w:rStyle w:val="Strong"/>
          <w:b w:val="0"/>
        </w:rPr>
        <w:t>This page provides a record of edits and changes made to this book since its initial publication in the B</w:t>
      </w:r>
      <w:r w:rsidR="00027826">
        <w:rPr>
          <w:rStyle w:val="Strong"/>
          <w:b w:val="0"/>
        </w:rPr>
        <w:t>.</w:t>
      </w:r>
      <w:r w:rsidRPr="009B7CFC">
        <w:rPr>
          <w:rStyle w:val="Strong"/>
          <w:b w:val="0"/>
        </w:rPr>
        <w:t>C</w:t>
      </w:r>
      <w:r w:rsidR="00027826">
        <w:rPr>
          <w:rStyle w:val="Strong"/>
          <w:b w:val="0"/>
        </w:rPr>
        <w:t>.</w:t>
      </w:r>
      <w:r w:rsidRPr="009B7CFC">
        <w:rPr>
          <w:rStyle w:val="Strong"/>
          <w:b w:val="0"/>
        </w:rPr>
        <w:t xml:space="preserve"> Open Textbook Collection. Whenever edits or updates are made, we make the required changes in the text and provide a record and description of those changes here. The files on our website always reflect the most recent version, including the </w:t>
      </w:r>
      <w:r w:rsidR="00027826">
        <w:rPr>
          <w:rStyle w:val="Strong"/>
          <w:b w:val="0"/>
        </w:rPr>
        <w:t>print-on-demand</w:t>
      </w:r>
      <w:r w:rsidRPr="009B7CFC">
        <w:rPr>
          <w:rStyle w:val="Strong"/>
          <w:b w:val="0"/>
        </w:rPr>
        <w:t xml:space="preserve"> copy.</w:t>
      </w:r>
    </w:p>
    <w:p w14:paraId="0B9F4BB7" w14:textId="0A750A82" w:rsidR="009B7CFC" w:rsidRDefault="009B7CFC" w:rsidP="009B7CFC">
      <w:pPr>
        <w:pStyle w:val="NormalWeb"/>
        <w:rPr>
          <w:rStyle w:val="Strong"/>
          <w:b w:val="0"/>
        </w:rPr>
      </w:pPr>
      <w:r w:rsidRPr="009B7CFC">
        <w:rPr>
          <w:rStyle w:val="Strong"/>
          <w:b w:val="0"/>
        </w:rPr>
        <w:t xml:space="preserve">If you find an error in this book, please fill out the </w:t>
      </w:r>
      <w:hyperlink r:id="rId5" w:history="1">
        <w:r w:rsidRPr="009B7CFC">
          <w:rPr>
            <w:rStyle w:val="Hyperlink"/>
            <w:b/>
            <w:bCs/>
          </w:rPr>
          <w:t>Report an Open Textbook Error</w:t>
        </w:r>
      </w:hyperlink>
      <w:r w:rsidRPr="009B7CFC">
        <w:rPr>
          <w:rStyle w:val="Strong"/>
          <w:b w:val="0"/>
        </w:rPr>
        <w:t xml:space="preserve"> form. </w:t>
      </w:r>
      <w:r w:rsidR="00027826">
        <w:rPr>
          <w:rStyle w:val="Strong"/>
          <w:b w:val="0"/>
        </w:rPr>
        <w:t xml:space="preserve">We will </w:t>
      </w:r>
      <w:r w:rsidRPr="009B7CFC">
        <w:rPr>
          <w:rStyle w:val="Strong"/>
          <w:b w:val="0"/>
        </w:rPr>
        <w:t>contact the original producer of the textbook</w:t>
      </w:r>
      <w:r w:rsidR="00027826">
        <w:rPr>
          <w:rStyle w:val="Strong"/>
          <w:b w:val="0"/>
        </w:rPr>
        <w:t xml:space="preserve"> to get the error fixed</w:t>
      </w:r>
      <w:r w:rsidRPr="009B7CFC">
        <w:rPr>
          <w:rStyle w:val="Strong"/>
          <w:b w:val="0"/>
        </w:rPr>
        <w:t>. Once we receive the updated files, this Versioning History page will be updated to reflect the edits made.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75"/>
        <w:gridCol w:w="1170"/>
        <w:gridCol w:w="2160"/>
        <w:gridCol w:w="4945"/>
      </w:tblGrid>
      <w:tr w:rsidR="009B7CFC" w14:paraId="30A460C9" w14:textId="77777777" w:rsidTr="003B2FF9">
        <w:tc>
          <w:tcPr>
            <w:tcW w:w="1075" w:type="dxa"/>
          </w:tcPr>
          <w:p w14:paraId="792869BE" w14:textId="77777777" w:rsidR="009B7CFC" w:rsidRDefault="009B7CFC" w:rsidP="009B7CFC">
            <w:pPr>
              <w:pStyle w:val="NormalWeb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170" w:type="dxa"/>
          </w:tcPr>
          <w:p w14:paraId="1E6D9C0E" w14:textId="77777777" w:rsidR="009B7CFC" w:rsidRDefault="009B7CFC" w:rsidP="009B7CFC">
            <w:pPr>
              <w:pStyle w:val="NormalWeb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60" w:type="dxa"/>
          </w:tcPr>
          <w:p w14:paraId="6E088CA4" w14:textId="77777777" w:rsidR="009B7CFC" w:rsidRDefault="009B7CFC" w:rsidP="009B7CFC">
            <w:pPr>
              <w:pStyle w:val="NormalWeb"/>
              <w:rPr>
                <w:b/>
              </w:rPr>
            </w:pPr>
            <w:r>
              <w:rPr>
                <w:b/>
              </w:rPr>
              <w:t>Change</w:t>
            </w:r>
          </w:p>
        </w:tc>
        <w:tc>
          <w:tcPr>
            <w:tcW w:w="4945" w:type="dxa"/>
          </w:tcPr>
          <w:p w14:paraId="59085B53" w14:textId="77777777" w:rsidR="009B7CFC" w:rsidRDefault="009B7CFC" w:rsidP="009B7CFC">
            <w:pPr>
              <w:pStyle w:val="NormalWeb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B7CFC" w14:paraId="7B0C0E6B" w14:textId="77777777" w:rsidTr="003B2FF9">
        <w:tc>
          <w:tcPr>
            <w:tcW w:w="1075" w:type="dxa"/>
          </w:tcPr>
          <w:p w14:paraId="2D21CC7F" w14:textId="77CF7C2A" w:rsidR="009B7CFC" w:rsidRPr="009B7CFC" w:rsidRDefault="003B2FF9" w:rsidP="009B7CFC">
            <w:pPr>
              <w:pStyle w:val="NormalWeb"/>
            </w:pPr>
            <w:r>
              <w:t>Version 201</w:t>
            </w:r>
            <w:r w:rsidR="005F3DDF">
              <w:t>7</w:t>
            </w:r>
            <w:r>
              <w:t xml:space="preserve"> – Revision A</w:t>
            </w:r>
          </w:p>
        </w:tc>
        <w:tc>
          <w:tcPr>
            <w:tcW w:w="1170" w:type="dxa"/>
          </w:tcPr>
          <w:p w14:paraId="04AEF6F0" w14:textId="763E0CC4" w:rsidR="009B7CFC" w:rsidRPr="009B7CFC" w:rsidRDefault="00D255F9" w:rsidP="009B7CFC">
            <w:pPr>
              <w:pStyle w:val="NormalWeb"/>
            </w:pPr>
            <w:r>
              <w:t>July</w:t>
            </w:r>
            <w:r w:rsidR="00AB2F49">
              <w:t xml:space="preserve"> 7, 201</w:t>
            </w:r>
            <w:r>
              <w:t>7</w:t>
            </w:r>
          </w:p>
        </w:tc>
        <w:tc>
          <w:tcPr>
            <w:tcW w:w="2160" w:type="dxa"/>
          </w:tcPr>
          <w:p w14:paraId="4743FDA6" w14:textId="77777777" w:rsidR="009B7CFC" w:rsidRPr="009B7CFC" w:rsidRDefault="009B7CFC" w:rsidP="009B7CFC">
            <w:pPr>
              <w:pStyle w:val="NormalWeb"/>
            </w:pPr>
            <w:r w:rsidRPr="009B7CFC">
              <w:t xml:space="preserve">Book added to </w:t>
            </w:r>
            <w:r w:rsidR="00AB2F49">
              <w:t>the BC Open Textbook collection</w:t>
            </w:r>
          </w:p>
        </w:tc>
        <w:tc>
          <w:tcPr>
            <w:tcW w:w="4945" w:type="dxa"/>
          </w:tcPr>
          <w:p w14:paraId="1666A672" w14:textId="77777777" w:rsidR="009B7CFC" w:rsidRPr="009B7CFC" w:rsidRDefault="009B7CFC" w:rsidP="009B7CFC">
            <w:pPr>
              <w:pStyle w:val="NormalWeb"/>
            </w:pPr>
          </w:p>
        </w:tc>
      </w:tr>
      <w:tr w:rsidR="00027826" w14:paraId="2101F5F2" w14:textId="77777777" w:rsidTr="003B2FF9">
        <w:tc>
          <w:tcPr>
            <w:tcW w:w="1075" w:type="dxa"/>
          </w:tcPr>
          <w:p w14:paraId="1B308E41" w14:textId="0DEC321E" w:rsidR="00027826" w:rsidRDefault="003B2FF9" w:rsidP="009B7CFC">
            <w:pPr>
              <w:pStyle w:val="NormalWeb"/>
            </w:pPr>
            <w:r>
              <w:t>Version 2018 – Revision B</w:t>
            </w:r>
          </w:p>
        </w:tc>
        <w:tc>
          <w:tcPr>
            <w:tcW w:w="1170" w:type="dxa"/>
          </w:tcPr>
          <w:p w14:paraId="30CE127B" w14:textId="31F22B73" w:rsidR="00027826" w:rsidRDefault="00027826" w:rsidP="009B7CFC">
            <w:pPr>
              <w:pStyle w:val="NormalWeb"/>
            </w:pPr>
            <w:r>
              <w:t>Sept 1</w:t>
            </w:r>
            <w:r w:rsidR="003B2FF9">
              <w:t>4</w:t>
            </w:r>
            <w:r>
              <w:t>, 2018</w:t>
            </w:r>
          </w:p>
        </w:tc>
        <w:tc>
          <w:tcPr>
            <w:tcW w:w="2160" w:type="dxa"/>
          </w:tcPr>
          <w:p w14:paraId="6CA7BB5E" w14:textId="54A9BE6D" w:rsidR="00027826" w:rsidRDefault="003B2FF9" w:rsidP="009B7CFC">
            <w:pPr>
              <w:pStyle w:val="NormalWeb"/>
            </w:pPr>
            <w:r>
              <w:t>Content updates.</w:t>
            </w:r>
          </w:p>
        </w:tc>
        <w:tc>
          <w:tcPr>
            <w:tcW w:w="4945" w:type="dxa"/>
          </w:tcPr>
          <w:p w14:paraId="5DB274C7" w14:textId="77777777" w:rsidR="003B2FF9" w:rsidRDefault="003B2FF9" w:rsidP="003B2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9">
              <w:rPr>
                <w:rFonts w:ascii="Times New Roman" w:hAnsi="Times New Roman" w:cs="Times New Roman"/>
                <w:sz w:val="24"/>
                <w:szCs w:val="24"/>
              </w:rPr>
              <w:t xml:space="preserve">Chapter 5 has been completely rewritten to reflect the new IFRS 15 standard on revenue, which was effective on January 1, 2018. </w:t>
            </w:r>
          </w:p>
          <w:p w14:paraId="68A2BB10" w14:textId="77777777" w:rsidR="003B2FF9" w:rsidRDefault="003B2FF9" w:rsidP="003B2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B2FF9">
              <w:rPr>
                <w:rFonts w:ascii="Times New Roman" w:hAnsi="Times New Roman" w:cs="Times New Roman"/>
                <w:sz w:val="24"/>
                <w:szCs w:val="24"/>
              </w:rPr>
              <w:t xml:space="preserve">ortions of Chapter 12 relating to current, non-financial liabilities have been revised to be consistent with IFRS 15. </w:t>
            </w:r>
          </w:p>
          <w:p w14:paraId="0938B0A8" w14:textId="77777777" w:rsidR="003B2FF9" w:rsidRDefault="003B2FF9" w:rsidP="003B2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9">
              <w:rPr>
                <w:rFonts w:ascii="Times New Roman" w:hAnsi="Times New Roman" w:cs="Times New Roman"/>
                <w:sz w:val="24"/>
                <w:szCs w:val="24"/>
              </w:rPr>
              <w:t xml:space="preserve">Chapter 8 was substantially revised to reflect the new IFRS 9 standard on financial instruments, which was effective on January 1, 2018. </w:t>
            </w:r>
          </w:p>
          <w:p w14:paraId="7C83503A" w14:textId="77777777" w:rsidR="003B2FF9" w:rsidRDefault="003B2FF9" w:rsidP="003B2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B2FF9">
              <w:rPr>
                <w:rFonts w:ascii="Times New Roman" w:hAnsi="Times New Roman" w:cs="Times New Roman"/>
                <w:sz w:val="24"/>
                <w:szCs w:val="24"/>
              </w:rPr>
              <w:t xml:space="preserve">erminology in other chapters has been updated to be consistent with the terminology used in IFRS 9. </w:t>
            </w:r>
          </w:p>
          <w:p w14:paraId="79CBF84F" w14:textId="451973FB" w:rsidR="00027826" w:rsidRPr="003B2FF9" w:rsidRDefault="003B2FF9" w:rsidP="003B2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9">
              <w:rPr>
                <w:rFonts w:ascii="Times New Roman" w:hAnsi="Times New Roman" w:cs="Times New Roman"/>
                <w:sz w:val="24"/>
                <w:szCs w:val="24"/>
              </w:rPr>
              <w:t>Other chapters have been updated to ensure uniformity in terminology and presentation.</w:t>
            </w:r>
          </w:p>
        </w:tc>
      </w:tr>
      <w:tr w:rsidR="009B19B6" w14:paraId="144F50F0" w14:textId="77777777" w:rsidTr="003B2FF9">
        <w:tc>
          <w:tcPr>
            <w:tcW w:w="1075" w:type="dxa"/>
          </w:tcPr>
          <w:p w14:paraId="78956E04" w14:textId="25F4062A" w:rsidR="009B19B6" w:rsidRDefault="009B19B6" w:rsidP="009B7CFC">
            <w:pPr>
              <w:pStyle w:val="NormalWeb"/>
            </w:pPr>
            <w:r>
              <w:t>Version 2021 – Revision A</w:t>
            </w:r>
          </w:p>
        </w:tc>
        <w:tc>
          <w:tcPr>
            <w:tcW w:w="1170" w:type="dxa"/>
          </w:tcPr>
          <w:p w14:paraId="17AA8E9C" w14:textId="535B5008" w:rsidR="009B19B6" w:rsidRDefault="009B19B6" w:rsidP="009B7CFC">
            <w:pPr>
              <w:pStyle w:val="NormalWeb"/>
            </w:pPr>
            <w:r>
              <w:t>April 26, 2021</w:t>
            </w:r>
          </w:p>
        </w:tc>
        <w:tc>
          <w:tcPr>
            <w:tcW w:w="2160" w:type="dxa"/>
          </w:tcPr>
          <w:p w14:paraId="052DB398" w14:textId="0CA2AF7A" w:rsidR="009B19B6" w:rsidRDefault="009B19B6" w:rsidP="009B7CFC">
            <w:pPr>
              <w:pStyle w:val="NormalWeb"/>
            </w:pPr>
            <w:r>
              <w:t>Content updates.</w:t>
            </w:r>
          </w:p>
        </w:tc>
        <w:tc>
          <w:tcPr>
            <w:tcW w:w="4945" w:type="dxa"/>
          </w:tcPr>
          <w:p w14:paraId="454F752E" w14:textId="69EB8A4C" w:rsidR="009B19B6" w:rsidRPr="003B2FF9" w:rsidRDefault="009B19B6" w:rsidP="003B2F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B19B6">
              <w:rPr>
                <w:rFonts w:ascii="Times New Roman" w:hAnsi="Times New Roman" w:cs="Times New Roman"/>
                <w:sz w:val="24"/>
                <w:szCs w:val="24"/>
              </w:rPr>
              <w:t>ront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B6">
              <w:rPr>
                <w:rFonts w:ascii="Times New Roman" w:hAnsi="Times New Roman" w:cs="Times New Roman"/>
                <w:sz w:val="24"/>
                <w:szCs w:val="24"/>
              </w:rPr>
              <w:t>matter has been updated including cover, Lyryx with Open Texts, copyright, and 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9B6">
              <w:rPr>
                <w:rFonts w:ascii="Times New Roman" w:hAnsi="Times New Roman" w:cs="Times New Roman"/>
                <w:sz w:val="24"/>
                <w:szCs w:val="24"/>
              </w:rPr>
              <w:t>pages. Attribution page has been added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868A6D" w14:textId="77777777" w:rsidR="003D09D2" w:rsidRDefault="009B19B6"/>
    <w:sectPr w:rsidR="003D0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1E7A"/>
    <w:multiLevelType w:val="hybridMultilevel"/>
    <w:tmpl w:val="AE64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FC"/>
    <w:rsid w:val="00027826"/>
    <w:rsid w:val="002D7346"/>
    <w:rsid w:val="003B2FF9"/>
    <w:rsid w:val="004E1F80"/>
    <w:rsid w:val="005F3DDF"/>
    <w:rsid w:val="007E7032"/>
    <w:rsid w:val="008203F4"/>
    <w:rsid w:val="00843B44"/>
    <w:rsid w:val="00896650"/>
    <w:rsid w:val="009B19B6"/>
    <w:rsid w:val="009B7CFC"/>
    <w:rsid w:val="00AB2F49"/>
    <w:rsid w:val="00BB1002"/>
    <w:rsid w:val="00D255F9"/>
    <w:rsid w:val="00DB73C6"/>
    <w:rsid w:val="00E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DAD0"/>
  <w15:chartTrackingRefBased/>
  <w15:docId w15:val="{16A1CC76-9906-41EB-8800-F9BEE4F8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B7CFC"/>
    <w:rPr>
      <w:b/>
      <w:bCs/>
    </w:rPr>
  </w:style>
  <w:style w:type="character" w:customStyle="1" w:styleId="object">
    <w:name w:val="object"/>
    <w:basedOn w:val="DefaultParagraphFont"/>
    <w:rsid w:val="009B7CFC"/>
  </w:style>
  <w:style w:type="character" w:styleId="Hyperlink">
    <w:name w:val="Hyperlink"/>
    <w:basedOn w:val="DefaultParagraphFont"/>
    <w:uiPriority w:val="99"/>
    <w:semiHidden/>
    <w:unhideWhenUsed/>
    <w:rsid w:val="009B7CFC"/>
    <w:rPr>
      <w:color w:val="0000FF"/>
      <w:u w:val="single"/>
    </w:rPr>
  </w:style>
  <w:style w:type="table" w:styleId="TableGrid">
    <w:name w:val="Table Grid"/>
    <w:basedOn w:val="TableNormal"/>
    <w:uiPriority w:val="39"/>
    <w:rsid w:val="009B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.bccampus.ca/reporting-an-open-textbook-err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Gray</dc:creator>
  <cp:keywords/>
  <dc:description/>
  <cp:lastModifiedBy>Kaitlyn</cp:lastModifiedBy>
  <cp:revision>6</cp:revision>
  <dcterms:created xsi:type="dcterms:W3CDTF">2017-02-07T16:18:00Z</dcterms:created>
  <dcterms:modified xsi:type="dcterms:W3CDTF">2021-04-26T17:20:00Z</dcterms:modified>
</cp:coreProperties>
</file>